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</w:rPr>
              <w:t xml:space="preserve">КонсультантПлюс | Готовое решение | </w:t>
            </w:r>
            <w:r>
              <w:rPr>
                <w:sz w:val="20"/>
                <w:color w:val="392c69"/>
                <w:b w:val="on"/>
              </w:rPr>
              <w:t xml:space="preserve">Актуально на 22.07.2026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" w:name="P2"/>
    <w:bookmarkEnd w:id="2"/>
    <w:p>
      <w:pPr>
        <w:pStyle w:val="0"/>
        <w:spacing w:before="460" w:lineRule="auto"/>
      </w:pPr>
      <w:r>
        <w:rPr>
          <w:sz w:val="36"/>
          <w:b w:val="on"/>
        </w:rPr>
        <w:t xml:space="preserve">Как перейти на электронные транспортные накладные при перевозках автомобильным транспортом с 1 сентября 2026 г.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участвуете в перевозке груза, при составлении транспортных накладных вы обязаны с 1 сентября 2026 г. перейти на электронный документооборот (ЭДО). Обязанность распространяется на перевозчиков, грузоотправителей и грузополучателей. На бумажном носителе транспортные накладные будут составляться только в определенных случаях (</w:t>
      </w:r>
      <w:hyperlink w:history="0" r:id="rId8" w:tooltip="Приказ Минтранса России от 01.06.2026 N 262 &quot;Об определении случаев, при которых транспортная накладная, заказ и заявка, предусмотренные частями 1 и 5 статьи 8 Федерального закона от 8 ноября 2007 г. N 259-ФЗ &quot;Устав автомобильного транспорта и городского наземного электрического транспорта&quot;, оформляются на бумажном носителе&quot; (Зарегистрировано в Минюсте России 02.06.2026 N 86819) ------------ Не вступил в силу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Минтранса России от 01.06.2026 N 262):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перевозятся грузы военного назначения автомобильным транспортом, когда Минобороны России выступает грузоотправителем или грузополучателем;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грузоотправителем или грузополучателем является иностранное юрлицо. При этом сведения о нем не включены в госреестр аккредитованных филиалов, представительств иностранных юрлиц по </w:t>
      </w:r>
      <w:hyperlink w:history="0" r:id="rId9" w:tooltip="Федеральный закон от 09.07.1999 N 160-ФЗ (ред. от 08.03.2026) &quot;Об иностранных инвестициях в Российской Федерации&quot; {КонсультантПлюс}">
        <w:r>
          <w:rPr>
            <w:sz w:val="20"/>
            <w:color w:val="0000ff"/>
          </w:rPr>
          <w:t xml:space="preserve">ст. 21</w:t>
        </w:r>
      </w:hyperlink>
      <w:r>
        <w:rPr>
          <w:sz w:val="20"/>
        </w:rPr>
        <w:t xml:space="preserve"> Федерального закона от 09.07.1999 N 160-ФЗ "Об иностранных инвестициях в Российской Федерации";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каботажные автомобильные перевозки грузов осуществляют иностранные перевозчики, зарегистрированные на территории одного из государств - членов ЕАЭС;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нет доступа к Интернету;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оказываются услуги по перевозке грузов автотранспортом в случае, если грузоотправитель и грузополучатель - одно лицо;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оказываются услуги по перевозке грузов автотранспортом, когда грузоотправитель или грузополучатель - физлицо и перевозка не связана с осуществлением им предпринимательской деятельности;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оказываются услуги по перевозке автотранспортом драгоценных металлов и драгоценных камней;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нет технической возможности направить электронные документы в ГИС ЭПД в связи со сбоем, зафиксированным государственной системой обнаружения, предупреждения и ликвидации последствий компьютерных атак.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Для информационного обеспечения управления транспортно-логистическим комплексом создана специальная система - </w:t>
      </w:r>
      <w:hyperlink w:history="0" r:id="rId10" w:tooltip="Готовое решение: Что такое платформа &quot;ГосЛог&quot; и реестр уведомлений о транспортно-экспедиционной деятельности (КонсультантПлюс, 2026) {КонсультантПлюс}">
        <w:r>
          <w:rPr>
            <w:sz w:val="20"/>
            <w:color w:val="0000ff"/>
          </w:rPr>
          <w:t xml:space="preserve">платформа "ГосЛог"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Подготовку к переходу на ЭДО вам необходимо начать заранее, не дожидаясь 1 сентября 2026 г.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Чтобы перейти на ЭДО, нужно пройти несколько этапов:</w:t>
      </w:r>
    </w:p>
    <w:p>
      <w:pPr>
        <w:pStyle w:val="0"/>
        <w:spacing w:before="200" w:lineRule="auto"/>
        <w:ind w:firstLine="-300" w:left="540"/>
        <w:jc w:val="both"/>
        <w:numPr>
          <w:ilvl w:val="0"/>
          <w:numId w:val="2"/>
        </w:numPr>
      </w:pPr>
      <w:r>
        <w:rPr>
          <w:sz w:val="20"/>
        </w:rPr>
        <w:t xml:space="preserve">Подготовительный этап. На этом этапе сделайте следующее: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проведите аудит хозяйственных операций. Проанализируйте, в качестве кого вы участвуете в перевозочном процессе, кто ваши контрагенты, кто обычно подписывает транспортные документы;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создайте рабочую группу. Включите в нее работников бухгалтерии, юристов, логистов, ИТ-специалиста;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выберите аккредитованного оператора </w:t>
      </w:r>
      <w:hyperlink w:history="0" r:id="rId11" w:tooltip="Федеральный закон от 08.11.2007 N 259-ФЗ (ред. от 31.07.2025) &quot;Устав автомобильного транспорта и городского наземного электрического транспорта&quot; (с изм. и доп., вступ. в силу с 01.09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ИС ЭПД</w:t>
        </w:r>
      </w:hyperlink>
      <w:r>
        <w:rPr>
          <w:sz w:val="20"/>
        </w:rPr>
        <w:t xml:space="preserve">. Перечень аккредитованных операторов размещен на сайте Минтранса России. Для этого изучите предложения на рынке, по возможности проведите тестирование.</w:t>
      </w:r>
    </w:p>
    <w:p>
      <w:pPr>
        <w:pStyle w:val="0"/>
        <w:spacing w:before="200" w:lineRule="auto"/>
        <w:ind w:firstLine="-300" w:left="540"/>
        <w:jc w:val="both"/>
        <w:numPr>
          <w:ilvl w:val="0"/>
          <w:numId w:val="2"/>
        </w:numPr>
      </w:pPr>
      <w:r>
        <w:rPr>
          <w:sz w:val="20"/>
        </w:rPr>
        <w:t xml:space="preserve">Технический этап. На этом этапе сделайте следующее: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подключитесь к одному из аккредитованных операторов </w:t>
      </w:r>
      <w:hyperlink w:history="0" r:id="rId12" w:tooltip="Федеральный закон от 08.11.2007 N 259-ФЗ (ред. от 31.07.2025) &quot;Устав автомобильного транспорта и городского наземного электрического транспорта&quot; (с изм. и доп., вступ. в силу с 01.09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ИС ЭПД</w:t>
        </w:r>
      </w:hyperlink>
      <w:r>
        <w:rPr>
          <w:sz w:val="20"/>
        </w:rPr>
        <w:t xml:space="preserve">, заключив с ним договор;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настройте интеграцию с учетной системой. Для этого необходимо доработать учетную систему, настроить шаблоны документов, протестировать выгрузку документов;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получите сертификат усиленной квалифицированной электронной подписи или </w:t>
      </w:r>
      <w:hyperlink w:history="0" r:id="rId13" w:tooltip="Федеральный закон от 08.11.2007 N 259-ФЗ (ред. от 31.07.2025) &quot;Устав автомобильного транспорта и городского наземного электрического транспорта&quot; (с изм. и доп., вступ. в силу с 01.09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сертификат</w:t>
        </w:r>
      </w:hyperlink>
      <w:r>
        <w:rPr>
          <w:sz w:val="20"/>
        </w:rPr>
        <w:t xml:space="preserve"> усиленной неквалифицированной электронной подписи и оформите машиночитаемую доверенность для сотрудников;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предоставьте доступ к сервису сотрудникам компании и назначьте администратора, при необходимости подключите водителей;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разработайте регламенты. В частности, необходимо разработать порядок оформления электронных транспортных накладных, порядок их хранения.</w:t>
      </w:r>
    </w:p>
    <w:p>
      <w:pPr>
        <w:pStyle w:val="0"/>
        <w:spacing w:before="200" w:lineRule="auto"/>
        <w:ind w:firstLine="-300" w:left="540"/>
        <w:jc w:val="both"/>
        <w:numPr>
          <w:ilvl w:val="0"/>
          <w:numId w:val="2"/>
        </w:numPr>
      </w:pPr>
      <w:r>
        <w:rPr>
          <w:sz w:val="20"/>
        </w:rPr>
        <w:t xml:space="preserve">Этап обучения. На этом этапе проведите обучение всех работников, которые будут принимать участие в перевозочном процессе и подписании электронных документов: работников бухгалтерии, логистов, водителей, кладовщиков. На том же этапе проведите тестовые операции, оформив параллельно документы на бумажном носителе и в электронном виде, чтобы отработать схему и выявить проблемные места.</w:t>
      </w:r>
    </w:p>
    <w:p>
      <w:pPr>
        <w:pStyle w:val="0"/>
        <w:spacing w:before="200" w:lineRule="auto"/>
        <w:ind w:firstLine="-300" w:left="540"/>
        <w:jc w:val="both"/>
        <w:numPr>
          <w:ilvl w:val="0"/>
          <w:numId w:val="2"/>
        </w:numPr>
      </w:pPr>
      <w:r>
        <w:rPr>
          <w:sz w:val="20"/>
        </w:rPr>
        <w:t xml:space="preserve">Пробный этап. Данный этап рекомендуем по возможности провести, чтобы избежать ошибок, сбоев, снизить нагрузку при обязательном переходе на ЭДО. Для этого сделайте следующее: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определите пилотных контрагентов, которые готовы досрочно перейти на ЭДО;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уведомьте этих контрагентов о переходе на ЭДО;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оформите дополнительные соглашения с ними к договорам, включив в них условие об оформлении транспортных накладных в электронном виде, порядок подписания документов, реквизиты в системе ЭДО;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отработайте с ними процесс ЭДО.</w:t>
      </w:r>
    </w:p>
    <w:p>
      <w:pPr>
        <w:pStyle w:val="0"/>
        <w:spacing w:before="200" w:lineRule="auto"/>
        <w:ind w:firstLine="-300" w:left="540"/>
        <w:jc w:val="both"/>
        <w:numPr>
          <w:ilvl w:val="0"/>
          <w:numId w:val="2"/>
        </w:numPr>
      </w:pPr>
      <w:r>
        <w:rPr>
          <w:sz w:val="20"/>
        </w:rPr>
        <w:t xml:space="preserve">Этап полного перехода (к 1 сентября 2026 г.). На этом этапе сделайте следующее: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оформите при необходимости дополнительные соглашения к договорам с контрагентами, участвующими в перевозочном процессе, включив в них условие об оформлении транспортных накладных в электронном виде. Необходимость в этом может возникнуть, например, когда вам нужно распределить между сторонами договора расходы на организацию электронного документооборота или установить порядок действий при технических сбоях;</w:t>
      </w:r>
    </w:p>
    <w:p>
      <w:pPr>
        <w:pStyle w:val="0"/>
        <w:spacing w:before="200" w:lineRule="auto"/>
        <w:ind w:firstLine="-227" w:left="1080"/>
        <w:jc w:val="both"/>
        <w:numPr>
          <w:ilvl w:val="1"/>
          <w:numId w:val="2"/>
        </w:numPr>
      </w:pPr>
      <w:r>
        <w:rPr>
          <w:sz w:val="20"/>
        </w:rPr>
        <w:t xml:space="preserve">внесите, если требуется, изменения в учетную политику о переходе на электронные транспортные накладные.</w:t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5" w:tooltip="Форма: Уведомление (письмо) о переходе на электронные перевозочные документы, направляемое контрагенту (образец заполнения) (КонсультантПлюс, 2026) {КонсультантПлюс}">
              <w:r>
                <w:rPr>
                  <w:sz w:val="20"/>
                  <w:color w:val="0000ff"/>
                </w:rPr>
                <w:t xml:space="preserve">Образец</w:t>
              </w:r>
            </w:hyperlink>
            <w:r>
              <w:rPr>
                <w:sz w:val="20"/>
              </w:rPr>
              <w:t xml:space="preserve"> уведомления (письма) о переходе на электронные перевозочные документы, направляемого контрагенту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6" w:tooltip="Форма: Дополнительное соглашение к договору перевозки груза о переходе на электронные перевозочные документы с 1 сентября 2026 г. (образец заполнения) (КонсультантПлюс, 2026) {КонсультантПлюс}">
              <w:r>
                <w:rPr>
                  <w:sz w:val="20"/>
                  <w:color w:val="0000ff"/>
                </w:rPr>
                <w:t xml:space="preserve">Образец</w:t>
              </w:r>
            </w:hyperlink>
            <w:r>
              <w:rPr>
                <w:sz w:val="20"/>
              </w:rPr>
              <w:t xml:space="preserve"> дополнительного соглашения к договору перевозки груза о переходе на электронные перевозочные документы с 1 сентября 2026 г.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 </w:t>
            </w:r>
            <w:hyperlink w:history="0" r:id="rId18" w:tooltip="Готовое решение: Как заполнить транспортную накладную (КонсультантПлюс, 2026) {КонсультантПлюс}">
              <w:r>
                <w:rPr>
                  <w:sz w:val="20"/>
                  <w:color w:val="0000ff"/>
                </w:rPr>
                <w:t xml:space="preserve">Как заполнить транспортную накладную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9" w:name="P39"/>
          <w:bookmarkEnd w:id="39"/>
          <w:p>
            <w:pPr>
              <w:pStyle w:val="0"/>
              <w:jc w:val="both"/>
            </w:pPr>
            <w:r>
              <w:rPr>
                <w:sz w:val="20"/>
                <w:u w:val="single"/>
              </w:rPr>
              <w:t xml:space="preserve">Какая ответственность установлена за отсутствие электронной транспортной накладной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За отсутствие транспортной накладной (в том числе электронной) для случаев, когда оформлять ее обязательно, на водителя налагают административный штраф в размере 500 руб. (</w:t>
            </w:r>
            <w:hyperlink w:history="0" r:id="rId19" w:tooltip="&quot;Кодекс Российской Федерации об административных правонарушениях&quot; от 30.12.2001 N 195-ФЗ (ред. от 04.07.2026) (с изм. и доп., вступ. в силу с 01.09.2026) ------------ Редакция с изменениями, не вступившими в силу {КонсультантПлюс}">
              <w:r>
                <w:rPr>
                  <w:sz w:val="20"/>
                  <w:color w:val="0000ff"/>
                </w:rPr>
                <w:t xml:space="preserve">п. 2 ст. 12.3</w:t>
              </w:r>
            </w:hyperlink>
            <w:r>
              <w:rPr>
                <w:sz w:val="20"/>
              </w:rPr>
              <w:t xml:space="preserve"> КоАП РФ).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Штрафов непосредственно за несоблюдение электронной формы транспортной накладной сейчас нет. Однако с того момента, когда оформлять электронную транспортную накладную станет </w:t>
            </w:r>
            <w:hyperlink w:history="0" w:anchor="P2" w:tooltip="Как перейти на электронные транспортные накладные при перевозках автомобильным транспортом с 1 сентября 2026 г.">
              <w:r>
                <w:rPr>
                  <w:sz w:val="20"/>
                  <w:color w:val="0000ff"/>
                </w:rPr>
                <w:t xml:space="preserve">обязательно</w:t>
              </w:r>
            </w:hyperlink>
            <w:r>
              <w:rPr>
                <w:sz w:val="20"/>
              </w:rPr>
              <w:t xml:space="preserve">, для заказчика, учитывающего транспортные расходы, отсутствие такого документа влечет риск отказа в признании налоговым органом этих расходов в целях налога на прибыль, а также вычета НДС по ним и, как следствие, доначисление налогов, штрафов и пеней на основании Налогового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РФ. Это следует из </w:t>
            </w:r>
            <w:hyperlink w:history="0" r:id="rId20" w:tooltip="&quot;Налоговый кодекс Российской Федерации (часть вторая)&quot; от 05.08.2000 N 117-ФЗ (ред. от 04.07.2026, с изм. от 21.07.2026) {КонсультантПлюс}">
              <w:r>
                <w:rPr>
                  <w:sz w:val="20"/>
                  <w:color w:val="0000ff"/>
                </w:rPr>
                <w:t xml:space="preserve">п. 1 ст. 172</w:t>
              </w:r>
            </w:hyperlink>
            <w:r>
              <w:rPr>
                <w:sz w:val="20"/>
              </w:rPr>
              <w:t xml:space="preserve">, </w:t>
            </w:r>
            <w:hyperlink w:history="0" r:id="rId21" w:tooltip="&quot;Налоговый кодекс Российской Федерации (часть вторая)&quot; от 05.08.2000 N 117-ФЗ (ред. от 04.07.2026, с изм. от 21.07.2026) {КонсультантПлюс}">
              <w:r>
                <w:rPr>
                  <w:sz w:val="20"/>
                  <w:color w:val="0000ff"/>
                </w:rPr>
                <w:t xml:space="preserve">п. 1 ст. 252</w:t>
              </w:r>
            </w:hyperlink>
            <w:r>
              <w:rPr>
                <w:sz w:val="20"/>
              </w:rPr>
              <w:t xml:space="preserve"> НК РФ.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43" w:name="P43"/>
          <w:bookmarkEnd w:id="43"/>
          <w:p>
            <w:pPr>
              <w:pStyle w:val="0"/>
              <w:jc w:val="both"/>
            </w:pPr>
            <w:r>
              <w:rPr>
                <w:sz w:val="20"/>
                <w:u w:val="single"/>
              </w:rPr>
              <w:t xml:space="preserve">Какая ответственность установлена за осуществление транспортно-экспедиционной деятельности лицом, сведений о котором нет в реестре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За осуществление транспортно-экспедиционной деятельности лицом, сведений о котором нет в </w:t>
            </w:r>
            <w:hyperlink w:history="0" r:id="rId22" w:tooltip="Готовое решение: Что такое платформа &quot;ГосЛог&quot; и реестр уведомлений о транспортно-экспедиционной деятельности (КонсультантПлюс, 2026) {КонсультантПлюс}">
              <w:r>
                <w:rPr>
                  <w:sz w:val="20"/>
                  <w:color w:val="0000ff"/>
                </w:rPr>
                <w:t xml:space="preserve">реестре</w:t>
              </w:r>
            </w:hyperlink>
            <w:r>
              <w:rPr>
                <w:sz w:val="20"/>
              </w:rPr>
              <w:t xml:space="preserve">, привлекают к такой административной ответственности (</w:t>
            </w:r>
            <w:hyperlink w:history="0" r:id="rId23" w:tooltip="Федеральный закон от 30.06.2003 N 87-ФЗ (ред. от 07.06.2025) &quot;О транспортно-экспедиционной деятельност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п. 3 ст. 2.2</w:t>
              </w:r>
            </w:hyperlink>
            <w:r>
              <w:rPr>
                <w:sz w:val="20"/>
              </w:rPr>
              <w:t xml:space="preserve"> Закона о транспортно-экспедиционной деятельности, </w:t>
            </w:r>
            <w:hyperlink w:history="0" r:id="rId24" w:tooltip="&quot;Кодекс Российской Федерации об административных правонарушениях&quot; от 30.12.2001 N 195-ФЗ (ред. от 04.07.2026) (с изм. и доп., вступ. в силу с 07.07.2026) {КонсультантПлюс}">
              <w:r>
                <w:rPr>
                  <w:sz w:val="20"/>
                  <w:color w:val="0000ff"/>
                </w:rPr>
                <w:t xml:space="preserve">ч. 3</w:t>
              </w:r>
            </w:hyperlink>
            <w:r>
              <w:rPr>
                <w:sz w:val="20"/>
              </w:rPr>
              <w:t xml:space="preserve">, </w:t>
            </w:r>
            <w:hyperlink w:history="0" r:id="rId25" w:tooltip="&quot;Кодекс Российской Федерации об административных правонарушениях&quot; от 30.12.2001 N 195-ФЗ (ред. от 04.07.2026) (с изм. и доп., вступ. в силу с 07.07.2026) {КонсультантПлюс}">
              <w:r>
                <w:rPr>
                  <w:sz w:val="20"/>
                  <w:color w:val="0000ff"/>
                </w:rPr>
                <w:t xml:space="preserve">4 ст. 11.14.3</w:t>
              </w:r>
            </w:hyperlink>
            <w:r>
              <w:rPr>
                <w:sz w:val="20"/>
              </w:rPr>
              <w:t xml:space="preserve"> КоАП РФ):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3"/>
              </w:numPr>
            </w:pPr>
            <w:r>
              <w:rPr>
                <w:sz w:val="20"/>
              </w:rPr>
              <w:t xml:space="preserve">юрлиц - за первичное нарушение штраф составит в размере от 100 тыс. до 300 тыс. руб. За повторное нарушение - от 500 тыс. до 1 млн руб.;</w:t>
            </w:r>
          </w:p>
          <w:p>
            <w:pPr>
              <w:pStyle w:val="0"/>
              <w:spacing w:before="200" w:lineRule="auto"/>
              <w:ind w:firstLine="-227" w:left="540"/>
              <w:jc w:val="both"/>
              <w:numPr>
                <w:ilvl w:val="0"/>
                <w:numId w:val="3"/>
              </w:numPr>
            </w:pPr>
            <w:r>
              <w:rPr>
                <w:sz w:val="20"/>
              </w:rPr>
              <w:t xml:space="preserve">граждан - за первичное нарушение штраф составит в размере от 3 тыс. до 5 тыс. руб. За повторное нарушение - от 5 тыс. до 10 тыс. руб.</w:t>
            </w:r>
          </w:p>
          <w:p>
            <w:pPr>
              <w:pStyle w:val="0"/>
              <w:spacing w:before="200" w:lineRule="auto"/>
              <w:jc w:val="both"/>
            </w:pPr>
            <w:r>
              <w:rPr>
                <w:sz w:val="20"/>
              </w:rPr>
              <w:t xml:space="preserve">По нашему мнению, экспедиторские документы, которые оформило лицо, не включенное в реестр, налоговый орган может признать не соответствующими законодательству РФ при оценке расходов в целях налога на прибыль, также есть риск отказа в вычете по НДС по этим расходам (</w:t>
            </w:r>
            <w:hyperlink w:history="0" r:id="rId26" w:tooltip="&quot;Налоговый кодекс Российской Федерации (часть вторая)&quot; от 05.08.2000 N 117-ФЗ (ред. от 04.07.2026, с изм. от 21.07.2026) {КонсультантПлюс}">
              <w:r>
                <w:rPr>
                  <w:sz w:val="20"/>
                  <w:color w:val="0000ff"/>
                </w:rPr>
                <w:t xml:space="preserve">п. 1 ст. 172</w:t>
              </w:r>
            </w:hyperlink>
            <w:r>
              <w:rPr>
                <w:sz w:val="20"/>
              </w:rPr>
              <w:t xml:space="preserve">, </w:t>
            </w:r>
            <w:hyperlink w:history="0" r:id="rId27" w:tooltip="&quot;Налоговый кодекс Российской Федерации (часть вторая)&quot; от 05.08.2000 N 117-ФЗ (ред. от 04.07.2026, с изм. от 21.07.2026) {КонсультантПлюс}">
              <w:r>
                <w:rPr>
                  <w:sz w:val="20"/>
                  <w:color w:val="0000ff"/>
                </w:rPr>
                <w:t xml:space="preserve">п. 1 ст. 252</w:t>
              </w:r>
            </w:hyperlink>
            <w:r>
              <w:rPr>
                <w:sz w:val="20"/>
              </w:rPr>
              <w:t xml:space="preserve"> НК РФ).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"/>
      <w:headerReference w:type="first" r:id="rId5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перейти на электронные транспортные накладные при перевозках автомобильным транспортом с 1 сентября...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Готовое решение: Как перейти на электронные транспортные накладные при перевозках автомобильным транспортом с 1 сентября...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5799" TargetMode = "External"/><Relationship Id="rId9" Type="http://schemas.openxmlformats.org/officeDocument/2006/relationships/hyperlink" Target="https://login.consultant.ru/link/?req=doc&amp;base=LAW&amp;n=528370&amp;dst=19" TargetMode = "External"/><Relationship Id="rId10" Type="http://schemas.openxmlformats.org/officeDocument/2006/relationships/hyperlink" Target="https://login.consultant.ru/link/?req=doc&amp;base=CJI&amp;n=163390&amp;dst=100006" TargetMode = "External"/><Relationship Id="rId11" Type="http://schemas.openxmlformats.org/officeDocument/2006/relationships/hyperlink" Target="https://login.consultant.ru/link/?req=doc&amp;base=LAW&amp;n=527603&amp;dst=294" TargetMode = "External"/><Relationship Id="rId12" Type="http://schemas.openxmlformats.org/officeDocument/2006/relationships/hyperlink" Target="https://login.consultant.ru/link/?req=doc&amp;base=LAW&amp;n=527603&amp;dst=294" TargetMode = "External"/><Relationship Id="rId13" Type="http://schemas.openxmlformats.org/officeDocument/2006/relationships/hyperlink" Target="https://login.consultant.ru/link/?req=doc&amp;base=LAW&amp;n=527603&amp;dst=327" TargetMode = "External"/><Relationship Id="rId14" Type="http://schemas.openxmlformats.org/officeDocument/2006/relationships/image" Target="media/image2.png"/><Relationship Id="rId15" Type="http://schemas.openxmlformats.org/officeDocument/2006/relationships/hyperlink" Target="https://login.consultant.ru/link/?req=doc&amp;base=PAP&amp;n=125952" TargetMode = "External"/><Relationship Id="rId16" Type="http://schemas.openxmlformats.org/officeDocument/2006/relationships/hyperlink" Target="https://login.consultant.ru/link/?req=doc&amp;base=PAP&amp;n=126389" TargetMode = "External"/><Relationship Id="rId17" Type="http://schemas.openxmlformats.org/officeDocument/2006/relationships/image" Target="media/image3.png"/><Relationship Id="rId18" Type="http://schemas.openxmlformats.org/officeDocument/2006/relationships/hyperlink" Target="https://login.consultant.ru/link/?req=doc&amp;base=PBI&amp;n=293860" TargetMode = "External"/><Relationship Id="rId19" Type="http://schemas.openxmlformats.org/officeDocument/2006/relationships/hyperlink" Target="https://login.consultant.ru/link/?req=doc&amp;base=LAW&amp;n=533578&amp;dst=11185" TargetMode = "External"/><Relationship Id="rId20" Type="http://schemas.openxmlformats.org/officeDocument/2006/relationships/hyperlink" Target="https://login.consultant.ru/link/?req=doc&amp;base=LAW&amp;n=538691&amp;dst=6173" TargetMode = "External"/><Relationship Id="rId21" Type="http://schemas.openxmlformats.org/officeDocument/2006/relationships/hyperlink" Target="https://login.consultant.ru/link/?req=doc&amp;base=LAW&amp;n=538691&amp;dst=101954" TargetMode = "External"/><Relationship Id="rId22" Type="http://schemas.openxmlformats.org/officeDocument/2006/relationships/hyperlink" Target="https://login.consultant.ru/link/?req=doc&amp;base=CJI&amp;n=163390&amp;dst=100022" TargetMode = "External"/><Relationship Id="rId23" Type="http://schemas.openxmlformats.org/officeDocument/2006/relationships/hyperlink" Target="https://login.consultant.ru/link/?req=doc&amp;base=LAW&amp;n=512765&amp;dst=35" TargetMode = "External"/><Relationship Id="rId24" Type="http://schemas.openxmlformats.org/officeDocument/2006/relationships/hyperlink" Target="https://login.consultant.ru/link/?req=doc&amp;base=LAW&amp;n=538097&amp;dst=11846" TargetMode = "External"/><Relationship Id="rId25" Type="http://schemas.openxmlformats.org/officeDocument/2006/relationships/hyperlink" Target="https://login.consultant.ru/link/?req=doc&amp;base=LAW&amp;n=538097&amp;dst=11848" TargetMode = "External"/><Relationship Id="rId26" Type="http://schemas.openxmlformats.org/officeDocument/2006/relationships/hyperlink" Target="https://login.consultant.ru/link/?req=doc&amp;base=LAW&amp;n=538691&amp;dst=6173" TargetMode = "External"/><Relationship Id="rId27" Type="http://schemas.openxmlformats.org/officeDocument/2006/relationships/hyperlink" Target="https://login.consultant.ru/link/?req=doc&amp;base=LAW&amp;n=538691&amp;dst=1019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4026.00.32</Application>
  <Company>КонсультантПлюс Версия 4026.00.32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перейти на электронные транспортные накладные при перевозках автомобильным транспортом с 1 сентября 2026 г.
(КонсультантПлюс, 2026)</dc:title>
  <dcterms:created xsi:type="dcterms:W3CDTF">2026-07-23T08:32:50Z</dcterms:created>
</cp:coreProperties>
</file>