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45F2" w:rsidRDefault="004B45F2">
      <w:pPr>
        <w:pStyle w:val="ConsPlusNormal"/>
        <w:jc w:val="both"/>
        <w:outlineLvl w:val="0"/>
      </w:pPr>
    </w:p>
    <w:p w:rsidR="004B45F2" w:rsidRDefault="003D41DD">
      <w:pPr>
        <w:pStyle w:val="ConsPlusNormal"/>
        <w:spacing w:before="460"/>
      </w:pPr>
      <w:bookmarkStart w:id="0" w:name="_GoBack"/>
      <w:bookmarkEnd w:id="0"/>
      <w:r>
        <w:rPr>
          <w:b/>
          <w:sz w:val="36"/>
        </w:rPr>
        <w:t>Как заполнить декларацию по НДС за 1 квартал 2026 г.</w:t>
      </w:r>
    </w:p>
    <w:p w:rsidR="004B45F2" w:rsidRDefault="003D41DD">
      <w:pPr>
        <w:pStyle w:val="ConsPlusNormal"/>
        <w:spacing w:before="200"/>
        <w:jc w:val="both"/>
      </w:pPr>
      <w:r>
        <w:t xml:space="preserve">С 2026 г. декларацию по НДС заполняют по </w:t>
      </w:r>
      <w:hyperlink r:id="rId7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новой форме</w:t>
        </w:r>
      </w:hyperlink>
      <w:r>
        <w:t xml:space="preserve">. Основные изменения: </w:t>
      </w:r>
      <w:hyperlink r:id="rId8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разд. 3</w:t>
        </w:r>
      </w:hyperlink>
      <w:r>
        <w:t xml:space="preserve"> дополнили строками для новых ставок НДС (</w:t>
      </w:r>
      <w:hyperlink r:id="rId9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22%</w:t>
        </w:r>
      </w:hyperlink>
      <w:r>
        <w:t xml:space="preserve">, </w:t>
      </w:r>
      <w:hyperlink r:id="rId10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22/122</w:t>
        </w:r>
      </w:hyperlink>
      <w:r>
        <w:t xml:space="preserve"> и </w:t>
      </w:r>
      <w:hyperlink r:id="rId11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18,03%</w:t>
        </w:r>
      </w:hyperlink>
      <w:r>
        <w:t xml:space="preserve">); в </w:t>
      </w:r>
      <w:hyperlink r:id="rId12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разд. 8</w:t>
        </w:r>
      </w:hyperlink>
      <w:r>
        <w:t xml:space="preserve"> в данных о </w:t>
      </w:r>
      <w:hyperlink r:id="rId13" w:tooltip="Типовая ситуация: НДС с авансов полученных: исчисление, вычет, счет-фактура (Издательство &quot;Главная книга&quot;, 2026) {КонсультантПлюс}">
        <w:r>
          <w:rPr>
            <w:color w:val="0000FF"/>
          </w:rPr>
          <w:t>вычете с полученного аванса</w:t>
        </w:r>
      </w:hyperlink>
      <w:r>
        <w:t xml:space="preserve"> надо указывать </w:t>
      </w:r>
      <w:hyperlink r:id="rId14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номер</w:t>
        </w:r>
      </w:hyperlink>
      <w:r>
        <w:t xml:space="preserve"> и </w:t>
      </w:r>
      <w:hyperlink r:id="rId15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дату</w:t>
        </w:r>
      </w:hyperlink>
      <w:r>
        <w:t xml:space="preserve"> отгрузочного счета-фактуры, а в </w:t>
      </w:r>
      <w:hyperlink r:id="rId16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разд. 9</w:t>
        </w:r>
      </w:hyperlink>
      <w:r>
        <w:t xml:space="preserve"> в сведениях о счете-фактуре на предоплаченную отгрузку - </w:t>
      </w:r>
      <w:hyperlink r:id="rId17" w:tooltip="Приказ ФНС России от 18.12.2025 N ЕД-7-3/1227@ &quot;О внесении изменений в приложения к приказу Федеральной налоговой службы от 05.11.2024 N ЕД-7-3/989@&quot; (Зарегистрировано в Минюсте России 28.01.2026 N 85109) ------------ Не вступил в силу {КонсультантПлюс}">
        <w:r>
          <w:rPr>
            <w:color w:val="0000FF"/>
          </w:rPr>
          <w:t>номер</w:t>
        </w:r>
      </w:hyperlink>
      <w:r>
        <w:t xml:space="preserve"> и </w:t>
      </w:r>
      <w:hyperlink r:id="rId18" w:tooltip="Приказ ФНС России от 18.12.2025 N ЕД-7-3/1227@ &quot;О внесении изменений в приложения к приказу Федеральной налоговой службы от 05.11.2024 N ЕД-7-3/989@&quot; (Зарегистрировано в Минюсте России 28.01.2026 N 85109) ------------ Не вступил в силу {КонсультантПлюс}">
        <w:r>
          <w:rPr>
            <w:color w:val="0000FF"/>
          </w:rPr>
          <w:t>дату</w:t>
        </w:r>
      </w:hyperlink>
      <w:r>
        <w:t xml:space="preserve"> авансового счета-фактуры.</w:t>
      </w:r>
    </w:p>
    <w:p w:rsidR="004B45F2" w:rsidRDefault="003D41DD">
      <w:pPr>
        <w:pStyle w:val="ConsPlusNormal"/>
        <w:spacing w:before="200"/>
        <w:jc w:val="both"/>
      </w:pPr>
      <w:r>
        <w:t xml:space="preserve">В декларации всегда будут </w:t>
      </w:r>
      <w:hyperlink r:id="rId19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титульный лист</w:t>
        </w:r>
      </w:hyperlink>
      <w:r>
        <w:t xml:space="preserve">, </w:t>
      </w:r>
      <w:hyperlink r:id="rId20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разд. 1</w:t>
        </w:r>
      </w:hyperlink>
      <w:r>
        <w:t xml:space="preserve">, </w:t>
      </w:r>
      <w:hyperlink r:id="rId21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3</w:t>
        </w:r>
      </w:hyperlink>
      <w:r>
        <w:t xml:space="preserve">, </w:t>
      </w:r>
      <w:hyperlink r:id="rId22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8</w:t>
        </w:r>
      </w:hyperlink>
      <w:r>
        <w:t xml:space="preserve"> и </w:t>
      </w:r>
      <w:hyperlink r:id="rId23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9</w:t>
        </w:r>
      </w:hyperlink>
      <w:r>
        <w:t>. Остальные разделы предназначены для специфических оп</w:t>
      </w:r>
      <w:r>
        <w:t>ераций.</w:t>
      </w:r>
    </w:p>
    <w:p w:rsidR="004B45F2" w:rsidRDefault="004B45F2">
      <w:pPr>
        <w:pStyle w:val="ConsPlusNormal"/>
        <w:jc w:val="both"/>
      </w:pPr>
    </w:p>
    <w:tbl>
      <w:tblPr>
        <w:tblW w:w="1059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97"/>
      </w:tblGrid>
      <w:tr w:rsidR="004B45F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4B45F2" w:rsidRDefault="003D41DD">
            <w:pPr>
              <w:pStyle w:val="ConsPlusNormal"/>
              <w:jc w:val="both"/>
            </w:pPr>
            <w:bookmarkStart w:id="1" w:name="P6"/>
            <w:bookmarkEnd w:id="1"/>
            <w:r>
              <w:rPr>
                <w:u w:val="single"/>
              </w:rPr>
              <w:t>Ситуации, когда надо заполнить дополнительные разделы декларации</w:t>
            </w:r>
          </w:p>
          <w:p w:rsidR="004B45F2" w:rsidRDefault="003D41DD">
            <w:pPr>
              <w:pStyle w:val="ConsPlusNormal"/>
              <w:spacing w:before="200"/>
              <w:jc w:val="both"/>
            </w:pPr>
            <w:hyperlink r:id="rId24" w:tooltip="Типовая ситуация: Налоговый агент по НДС: случаи, расчет, уплата, вычет (Издательство &quot;Главная книга&quot;, 2026) {КонсультантПлюс}">
              <w:r>
                <w:rPr>
                  <w:color w:val="0000FF"/>
                </w:rPr>
                <w:t>Операции налогового агента</w:t>
              </w:r>
            </w:hyperlink>
          </w:p>
          <w:p w:rsidR="004B45F2" w:rsidRDefault="003D41DD">
            <w:pPr>
              <w:pStyle w:val="ConsPlusNormal"/>
              <w:spacing w:before="200"/>
              <w:jc w:val="both"/>
            </w:pPr>
            <w:hyperlink r:id="rId25" w:tooltip="Типовая ситуация: НДС при экспорте (Издательство &quot;Главная книга&quot;, 2026) {КонсультантПлюс}">
              <w:r>
                <w:rPr>
                  <w:color w:val="0000FF"/>
                </w:rPr>
                <w:t>Экс</w:t>
              </w:r>
              <w:r>
                <w:rPr>
                  <w:color w:val="0000FF"/>
                </w:rPr>
                <w:t>порт</w:t>
              </w:r>
            </w:hyperlink>
          </w:p>
          <w:p w:rsidR="004B45F2" w:rsidRDefault="003D41DD">
            <w:pPr>
              <w:pStyle w:val="ConsPlusNormal"/>
              <w:spacing w:before="200"/>
              <w:jc w:val="both"/>
            </w:pPr>
            <w:hyperlink r:id="rId26" w:tooltip="Типовая ситуация: НДС по услугам гостиниц: ставки и декларация (Издательство &quot;Главная книга&quot;, 2026) {КонсультантПлюс}">
              <w:r>
                <w:rPr>
                  <w:color w:val="0000FF"/>
                </w:rPr>
                <w:t>Гостиничные услуги</w:t>
              </w:r>
            </w:hyperlink>
          </w:p>
          <w:p w:rsidR="004B45F2" w:rsidRDefault="003D41DD">
            <w:pPr>
              <w:pStyle w:val="ConsPlusNormal"/>
              <w:spacing w:before="200"/>
              <w:jc w:val="both"/>
            </w:pPr>
            <w:hyperlink r:id="rId27" w:tooltip="Типовая ситуация: Как заполнить разд. 7 декларации по НДС (Издательство &quot;Главная книга&quot;, 2026) {КонсультантПлюс}">
              <w:r>
                <w:rPr>
                  <w:color w:val="0000FF"/>
                </w:rPr>
                <w:t>Не облагаемые НДС операции</w:t>
              </w:r>
            </w:hyperlink>
          </w:p>
          <w:p w:rsidR="004B45F2" w:rsidRDefault="003D41DD">
            <w:pPr>
              <w:pStyle w:val="ConsPlusNormal"/>
              <w:spacing w:before="200"/>
              <w:jc w:val="both"/>
            </w:pPr>
            <w:hyperlink r:id="rId28" w:tooltip="Типовая ситуация: Земельные участки: бухучет и налоги (Издательство &quot;Главная книга&quot;, 2026) {КонсультантПлюс}">
              <w:r>
                <w:rPr>
                  <w:color w:val="0000FF"/>
                </w:rPr>
                <w:t>Продажа земли</w:t>
              </w:r>
            </w:hyperlink>
          </w:p>
          <w:p w:rsidR="004B45F2" w:rsidRDefault="003D41DD">
            <w:pPr>
              <w:pStyle w:val="ConsPlusNormal"/>
              <w:spacing w:before="200"/>
              <w:jc w:val="both"/>
            </w:pPr>
            <w:hyperlink r:id="rId29" w:tooltip="Типовая ситуация: Агентский договор: НДС и счета-фактуры (Издательство &quot;Главная книга&quot;, 2026) {КонсультантПлюс}">
              <w:r>
                <w:rPr>
                  <w:color w:val="0000FF"/>
                </w:rPr>
                <w:t>Выставление или получение</w:t>
              </w:r>
            </w:hyperlink>
            <w:r>
              <w:t xml:space="preserve"> счетов-фактур посредниками</w:t>
            </w:r>
          </w:p>
          <w:p w:rsidR="004B45F2" w:rsidRDefault="003D41DD">
            <w:pPr>
              <w:pStyle w:val="ConsPlusNormal"/>
              <w:spacing w:before="200"/>
              <w:jc w:val="both"/>
            </w:pPr>
            <w:r>
              <w:t xml:space="preserve">Выставление счета-фактуры с НДС </w:t>
            </w:r>
            <w:hyperlink r:id="rId30" w:tooltip="Типовая ситуация: Освобождение от НДС на ОСН: как получить и продлить (Издательство &quot;Главная книга&quot;, 2026) {КонсультантПлюс}">
              <w:r>
                <w:rPr>
                  <w:color w:val="0000FF"/>
                </w:rPr>
                <w:t>при освобождении от налога</w:t>
              </w:r>
            </w:hyperlink>
            <w:r>
              <w:t xml:space="preserve"> или </w:t>
            </w:r>
            <w:hyperlink r:id="rId31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      <w:r>
                <w:rPr>
                  <w:color w:val="0000FF"/>
                </w:rPr>
                <w:t>по необлагаемым операциям</w:t>
              </w:r>
            </w:hyperlink>
          </w:p>
        </w:tc>
      </w:tr>
    </w:tbl>
    <w:p w:rsidR="004B45F2" w:rsidRDefault="004B45F2">
      <w:pPr>
        <w:pStyle w:val="ConsPlusNormal"/>
        <w:jc w:val="both"/>
      </w:pPr>
    </w:p>
    <w:p w:rsidR="004B45F2" w:rsidRDefault="003D41DD">
      <w:pPr>
        <w:pStyle w:val="ConsPlusNormal"/>
        <w:jc w:val="both"/>
      </w:pPr>
      <w:r>
        <w:rPr>
          <w:b/>
        </w:rPr>
        <w:t xml:space="preserve">В </w:t>
      </w:r>
      <w:hyperlink r:id="rId32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b/>
            <w:color w:val="0000FF"/>
          </w:rPr>
          <w:t>разд. 8</w:t>
        </w:r>
      </w:hyperlink>
      <w:r>
        <w:rPr>
          <w:b/>
        </w:rPr>
        <w:t xml:space="preserve"> и </w:t>
      </w:r>
      <w:hyperlink r:id="rId33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b/>
            <w:color w:val="0000FF"/>
          </w:rPr>
          <w:t>9</w:t>
        </w:r>
      </w:hyperlink>
      <w:r>
        <w:t xml:space="preserve"> переносят данные </w:t>
      </w:r>
      <w:hyperlink r:id="rId34" w:tooltip="Типовая ситуация: Книги покупок и продаж: порядок и примеры заполнения (Издательство &quot;Главная книга&quot;, 2026) {КонсультантПлюс}">
        <w:r>
          <w:rPr>
            <w:color w:val="0000FF"/>
          </w:rPr>
          <w:t>книг покупок и продаж</w:t>
        </w:r>
      </w:hyperlink>
      <w:r>
        <w:t xml:space="preserve">, в том числе </w:t>
      </w:r>
      <w:hyperlink r:id="rId35" w:tooltip="Типовая ситуация: Прослеживаемые товары: учет и отчетность (Издательство &quot;Главная книга&quot;, 2026) {КонсультантПлюс}">
        <w:r>
          <w:rPr>
            <w:color w:val="0000FF"/>
          </w:rPr>
          <w:t>РНПТ</w:t>
        </w:r>
      </w:hyperlink>
      <w:r>
        <w:t xml:space="preserve"> по прослеживаемым товарам. Приложения к </w:t>
      </w:r>
      <w:hyperlink r:id="rId36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разд. 8</w:t>
        </w:r>
      </w:hyperlink>
      <w:r>
        <w:t xml:space="preserve"> и </w:t>
      </w:r>
      <w:hyperlink r:id="rId37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9</w:t>
        </w:r>
      </w:hyperlink>
      <w:r>
        <w:t xml:space="preserve"> нужны только для </w:t>
      </w:r>
      <w:hyperlink r:id="rId38" w:tooltip="Типовая ситуация: Уточненная декларация по НДС: когда сдавать и как заполнить (Издательство &quot;Главная книга&quot;, 2026) {КонсультантПлюс}">
        <w:r>
          <w:rPr>
            <w:color w:val="0000FF"/>
          </w:rPr>
          <w:t>уточненных деклараций</w:t>
        </w:r>
      </w:hyperlink>
      <w:r>
        <w:t>.</w:t>
      </w:r>
    </w:p>
    <w:p w:rsidR="004B45F2" w:rsidRDefault="003D41DD">
      <w:pPr>
        <w:pStyle w:val="ConsPlusNormal"/>
        <w:spacing w:before="200"/>
        <w:jc w:val="both"/>
      </w:pPr>
      <w:hyperlink r:id="rId39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b/>
            <w:color w:val="0000FF"/>
          </w:rPr>
          <w:t>Раздел 3</w:t>
        </w:r>
      </w:hyperlink>
      <w:r>
        <w:t xml:space="preserve"> - это расчет налога по обычным операциям. В нем не отражают необлагаемые операции и операции по ставке 0%. Большинство строк ра</w:t>
      </w:r>
      <w:r>
        <w:t xml:space="preserve">здела заполнит программа. </w:t>
      </w:r>
      <w:hyperlink r:id="rId40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Приложение 1</w:t>
        </w:r>
      </w:hyperlink>
      <w:r>
        <w:t xml:space="preserve"> будет только при восстановлении НДС по недвижимости, </w:t>
      </w:r>
      <w:hyperlink r:id="rId41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Приложение 2</w:t>
        </w:r>
      </w:hyperlink>
      <w:r>
        <w:t xml:space="preserve"> - для иностранных организаций.</w:t>
      </w:r>
    </w:p>
    <w:p w:rsidR="004B45F2" w:rsidRDefault="003D41DD">
      <w:pPr>
        <w:pStyle w:val="ConsPlusNormal"/>
        <w:spacing w:before="200"/>
        <w:jc w:val="both"/>
      </w:pPr>
      <w:r>
        <w:t xml:space="preserve">В </w:t>
      </w:r>
      <w:hyperlink r:id="rId42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строке 003 разд. 3</w:t>
        </w:r>
      </w:hyperlink>
      <w:r>
        <w:t xml:space="preserve"> приводят стоимость реализованных товаров (работ, услуг), облагаемых по ставке 22%, и налог с них. В </w:t>
      </w:r>
      <w:hyperlink r:id="rId43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строке 005</w:t>
        </w:r>
      </w:hyperlink>
      <w:r>
        <w:t xml:space="preserve"> - налог, исчисленный при реализации по ставке 22/122, например с </w:t>
      </w:r>
      <w:hyperlink r:id="rId44" w:tooltip="Типовая ситуация: Как исчислить НДС при реализации (Издательство &quot;Главная книга&quot;, 2026) {КонсультантПлюс}">
        <w:r>
          <w:rPr>
            <w:color w:val="0000FF"/>
          </w:rPr>
          <w:t>межценовой разницы</w:t>
        </w:r>
      </w:hyperlink>
      <w:r>
        <w:t xml:space="preserve">. В </w:t>
      </w:r>
      <w:hyperlink r:id="rId45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строке 070</w:t>
        </w:r>
      </w:hyperlink>
      <w:r>
        <w:t xml:space="preserve"> - </w:t>
      </w:r>
      <w:hyperlink r:id="rId46" w:tooltip="Типовая ситуация: НДС с авансов полученных: исчисление, вычет, счет-фактура (Издательство &quot;Главная книга&quot;, 2026) {КонсультантПлюс}">
        <w:r>
          <w:rPr>
            <w:color w:val="0000FF"/>
          </w:rPr>
          <w:t>налог с авансов полученных</w:t>
        </w:r>
      </w:hyperlink>
      <w:r>
        <w:t xml:space="preserve"> (</w:t>
      </w:r>
      <w:hyperlink r:id="rId47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п. п. 38</w:t>
        </w:r>
      </w:hyperlink>
      <w:r>
        <w:t xml:space="preserve">, </w:t>
      </w:r>
      <w:hyperlink r:id="rId48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38.5</w:t>
        </w:r>
      </w:hyperlink>
      <w:r>
        <w:t xml:space="preserve"> Порядка заполнения декларации).</w:t>
      </w:r>
    </w:p>
    <w:p w:rsidR="004B45F2" w:rsidRDefault="003D41DD">
      <w:pPr>
        <w:pStyle w:val="ConsPlusNormal"/>
        <w:spacing w:before="200"/>
        <w:jc w:val="both"/>
      </w:pPr>
      <w:r>
        <w:t xml:space="preserve">В </w:t>
      </w:r>
      <w:hyperlink r:id="rId49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строке 080 разд. 3</w:t>
        </w:r>
      </w:hyperlink>
      <w:r>
        <w:t xml:space="preserve"> указывают общую сумму налога, подлежащую восстановлению, и отдельно в </w:t>
      </w:r>
      <w:hyperlink r:id="rId50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строке 090</w:t>
        </w:r>
      </w:hyperlink>
      <w:r>
        <w:t xml:space="preserve"> - </w:t>
      </w:r>
      <w:hyperlink r:id="rId51" w:tooltip="Типовая ситуация: НДС с авансов выданных: вычет и восстановление (Издательство &quot;Главная книга&quot;, 2026) {КонсультантПлюс}">
        <w:r>
          <w:rPr>
            <w:color w:val="0000FF"/>
          </w:rPr>
          <w:t>восстановленный НДС с авансов выданных</w:t>
        </w:r>
      </w:hyperlink>
      <w:r>
        <w:t xml:space="preserve"> (</w:t>
      </w:r>
      <w:hyperlink r:id="rId52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п. 38.6</w:t>
        </w:r>
      </w:hyperlink>
      <w:r>
        <w:t xml:space="preserve"> Порядка).</w:t>
      </w:r>
    </w:p>
    <w:p w:rsidR="004B45F2" w:rsidRDefault="003D41DD">
      <w:pPr>
        <w:pStyle w:val="ConsPlusNormal"/>
        <w:spacing w:before="200"/>
        <w:jc w:val="both"/>
      </w:pPr>
      <w:r>
        <w:t xml:space="preserve">В </w:t>
      </w:r>
      <w:hyperlink r:id="rId53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строке 120</w:t>
        </w:r>
      </w:hyperlink>
      <w:r>
        <w:t xml:space="preserve"> приводят общую сумму </w:t>
      </w:r>
      <w:hyperlink r:id="rId54" w:tooltip="Типовая ситуация: Вычет входного НДС: условия и порядок применения (Издательство &quot;Главная книга&quot;, 2026) {КонсультантПлюс}">
        <w:r>
          <w:rPr>
            <w:color w:val="0000FF"/>
          </w:rPr>
          <w:t>вычетов по приобретенным товарам (работам, услугам)</w:t>
        </w:r>
      </w:hyperlink>
      <w:r>
        <w:t xml:space="preserve">, и отдельно в </w:t>
      </w:r>
      <w:hyperlink r:id="rId55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строке 125</w:t>
        </w:r>
      </w:hyperlink>
      <w:r>
        <w:t xml:space="preserve"> - по работам при </w:t>
      </w:r>
      <w:hyperlink r:id="rId56" w:tooltip="Типовая ситуация: Строительство ОС: налог на прибыль, НДС, проводки (Издательство &quot;Главная книга&quot;, 2026) {КонсультантПлюс}">
        <w:r>
          <w:rPr>
            <w:color w:val="0000FF"/>
          </w:rPr>
          <w:t>капстроительстве</w:t>
        </w:r>
      </w:hyperlink>
      <w:r>
        <w:t xml:space="preserve">. В </w:t>
      </w:r>
      <w:hyperlink r:id="rId57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строке 130</w:t>
        </w:r>
      </w:hyperlink>
      <w:r>
        <w:t xml:space="preserve"> - вычеты по </w:t>
      </w:r>
      <w:hyperlink r:id="rId58" w:tooltip="Типовая ситуация: НДС с авансов выданных: вычет и восстановление (Издательство &quot;Главная книга&quot;, 2026) {КонсультантПлюс}">
        <w:r>
          <w:rPr>
            <w:color w:val="0000FF"/>
          </w:rPr>
          <w:t>авансам выданным</w:t>
        </w:r>
      </w:hyperlink>
      <w:r>
        <w:t xml:space="preserve">, в </w:t>
      </w:r>
      <w:hyperlink r:id="rId59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строке 170</w:t>
        </w:r>
      </w:hyperlink>
      <w:r>
        <w:t xml:space="preserve"> - по </w:t>
      </w:r>
      <w:hyperlink r:id="rId60" w:tooltip="Типовая ситуация: НДС с авансов полученных: исчисление, вычет, счет-фактура (Издательство &quot;Главная книга&quot;, 2026) {КонсультантПлюс}">
        <w:r>
          <w:rPr>
            <w:color w:val="0000FF"/>
          </w:rPr>
          <w:t>авансам полученным</w:t>
        </w:r>
      </w:hyperlink>
      <w:r>
        <w:t xml:space="preserve"> (</w:t>
      </w:r>
      <w:hyperlink r:id="rId61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п. п. 38.11</w:t>
        </w:r>
      </w:hyperlink>
      <w:r>
        <w:t xml:space="preserve">, </w:t>
      </w:r>
      <w:hyperlink r:id="rId62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38.12</w:t>
        </w:r>
      </w:hyperlink>
      <w:r>
        <w:t xml:space="preserve">, </w:t>
      </w:r>
      <w:hyperlink r:id="rId63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38.17</w:t>
        </w:r>
      </w:hyperlink>
      <w:r>
        <w:t xml:space="preserve"> Порядка).</w:t>
      </w:r>
    </w:p>
    <w:p w:rsidR="004B45F2" w:rsidRDefault="003D41DD">
      <w:pPr>
        <w:pStyle w:val="ConsPlusNormal"/>
        <w:spacing w:before="200"/>
        <w:jc w:val="both"/>
      </w:pPr>
      <w:r>
        <w:rPr>
          <w:b/>
        </w:rPr>
        <w:t xml:space="preserve">В </w:t>
      </w:r>
      <w:hyperlink r:id="rId64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b/>
            <w:color w:val="0000FF"/>
          </w:rPr>
          <w:t>р</w:t>
        </w:r>
        <w:r>
          <w:rPr>
            <w:b/>
            <w:color w:val="0000FF"/>
          </w:rPr>
          <w:t>азд. 1</w:t>
        </w:r>
      </w:hyperlink>
      <w:r>
        <w:t xml:space="preserve"> приводят сумму налога к уплате или возмещению. В </w:t>
      </w:r>
      <w:hyperlink r:id="rId65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строке</w:t>
        </w:r>
      </w:hyperlink>
      <w:r>
        <w:t xml:space="preserve"> "Признак СЗПК" обычно ставят "2". "1" указывают только участники </w:t>
      </w:r>
      <w:hyperlink r:id="rId66" w:tooltip="Федеральный закон от 01.04.2020 N 69-ФЗ (ред. от 04.11.2025) &quot;О защите и поощрении капиталовложений в Российской Федерации&quot; (с изм. и доп., вступ. в силу с 01.01.2026) {КонсультантПлюс}">
        <w:r>
          <w:rPr>
            <w:color w:val="0000FF"/>
          </w:rPr>
          <w:t>согл</w:t>
        </w:r>
        <w:r>
          <w:rPr>
            <w:color w:val="0000FF"/>
          </w:rPr>
          <w:t>ашения о защите и поощрении капиталовложений</w:t>
        </w:r>
      </w:hyperlink>
      <w:r>
        <w:t xml:space="preserve"> (</w:t>
      </w:r>
      <w:hyperlink r:id="rId67" w:tooltip="&lt;Письмо&gt; ФНС России от 06.04.2021 N СД-4-3/4593@ &quot;О составлении декларации участником соглашения о защите и поощрении капиталовложений&quot; {КонсультантПлюс}">
        <w:r>
          <w:rPr>
            <w:color w:val="0000FF"/>
          </w:rPr>
          <w:t>Письмо</w:t>
        </w:r>
      </w:hyperlink>
      <w:r>
        <w:t xml:space="preserve"> ФНС от 06.04.2021 N СД-4-3/4593@).</w:t>
      </w:r>
    </w:p>
    <w:p w:rsidR="004B45F2" w:rsidRDefault="004B45F2">
      <w:pPr>
        <w:pStyle w:val="ConsPlusNormal"/>
        <w:jc w:val="both"/>
      </w:pPr>
    </w:p>
    <w:tbl>
      <w:tblPr>
        <w:tblW w:w="1059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97"/>
      </w:tblGrid>
      <w:tr w:rsidR="004B45F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4B45F2" w:rsidRDefault="003D41DD">
            <w:pPr>
              <w:pStyle w:val="ConsPlusNormal"/>
              <w:jc w:val="both"/>
            </w:pPr>
            <w:bookmarkStart w:id="2" w:name="P22"/>
            <w:bookmarkEnd w:id="2"/>
            <w:r>
              <w:rPr>
                <w:u w:val="single"/>
              </w:rPr>
              <w:t>Декларация по НДС за 1 квартал 2026 г.</w:t>
            </w:r>
          </w:p>
          <w:p w:rsidR="004B45F2" w:rsidRDefault="004B45F2">
            <w:pPr>
              <w:pStyle w:val="ConsPlusNormal"/>
              <w:spacing w:before="200"/>
              <w:jc w:val="both"/>
            </w:pPr>
          </w:p>
          <w:p w:rsidR="004B45F2" w:rsidRDefault="003D41DD">
            <w:pPr>
              <w:pStyle w:val="ConsPlusNormal"/>
              <w:jc w:val="both"/>
            </w:pPr>
            <w:r>
              <w:rPr>
                <w:noProof/>
                <w:position w:val="-557"/>
              </w:rPr>
              <w:drawing>
                <wp:inline distT="0" distB="0" distL="0" distR="0">
                  <wp:extent cx="5041900" cy="7202805"/>
                  <wp:effectExtent l="0" t="0" r="0" b="0"/>
                  <wp:docPr id="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0" cy="720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5F2" w:rsidRDefault="004B45F2">
            <w:pPr>
              <w:pStyle w:val="ConsPlusNormal"/>
              <w:spacing w:before="200"/>
              <w:jc w:val="both"/>
            </w:pPr>
          </w:p>
          <w:p w:rsidR="004B45F2" w:rsidRDefault="003D41DD">
            <w:pPr>
              <w:pStyle w:val="ConsPlusNormal"/>
              <w:jc w:val="both"/>
            </w:pPr>
            <w:r>
              <w:rPr>
                <w:noProof/>
                <w:position w:val="-556"/>
              </w:rPr>
              <w:lastRenderedPageBreak/>
              <w:drawing>
                <wp:inline distT="0" distB="0" distL="0" distR="0">
                  <wp:extent cx="5041265" cy="7199630"/>
                  <wp:effectExtent l="0" t="0" r="0" b="0"/>
                  <wp:docPr id="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265" cy="719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5F2" w:rsidRDefault="004B45F2">
            <w:pPr>
              <w:pStyle w:val="ConsPlusNormal"/>
              <w:spacing w:before="200"/>
              <w:jc w:val="both"/>
            </w:pPr>
          </w:p>
          <w:p w:rsidR="004B45F2" w:rsidRDefault="003D41DD">
            <w:pPr>
              <w:pStyle w:val="ConsPlusNormal"/>
              <w:jc w:val="both"/>
            </w:pPr>
            <w:r>
              <w:rPr>
                <w:noProof/>
                <w:position w:val="-556"/>
              </w:rPr>
              <w:drawing>
                <wp:inline distT="0" distB="0" distL="0" distR="0">
                  <wp:extent cx="5041265" cy="7199630"/>
                  <wp:effectExtent l="0" t="0" r="0" b="0"/>
                  <wp:docPr id="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265" cy="719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5F2" w:rsidRDefault="004B45F2">
            <w:pPr>
              <w:pStyle w:val="ConsPlusNormal"/>
              <w:spacing w:before="200"/>
              <w:jc w:val="both"/>
            </w:pPr>
          </w:p>
          <w:p w:rsidR="004B45F2" w:rsidRDefault="003D41DD">
            <w:pPr>
              <w:pStyle w:val="ConsPlusNormal"/>
              <w:jc w:val="both"/>
            </w:pPr>
            <w:r>
              <w:rPr>
                <w:noProof/>
                <w:position w:val="-556"/>
              </w:rPr>
              <w:drawing>
                <wp:inline distT="0" distB="0" distL="0" distR="0">
                  <wp:extent cx="5041900" cy="7200265"/>
                  <wp:effectExtent l="0" t="0" r="0" b="0"/>
                  <wp:docPr id="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0" cy="7200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5F2" w:rsidRDefault="004B45F2">
            <w:pPr>
              <w:pStyle w:val="ConsPlusNormal"/>
              <w:spacing w:before="200"/>
              <w:jc w:val="both"/>
            </w:pPr>
          </w:p>
          <w:p w:rsidR="004B45F2" w:rsidRDefault="003D41DD">
            <w:pPr>
              <w:pStyle w:val="ConsPlusNormal"/>
              <w:jc w:val="both"/>
            </w:pPr>
            <w:r>
              <w:rPr>
                <w:noProof/>
                <w:position w:val="-557"/>
              </w:rPr>
              <w:drawing>
                <wp:inline distT="0" distB="0" distL="0" distR="0">
                  <wp:extent cx="5044440" cy="7202170"/>
                  <wp:effectExtent l="0" t="0" r="0" b="0"/>
                  <wp:docPr id="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440" cy="720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5F2" w:rsidRDefault="004B45F2">
            <w:pPr>
              <w:pStyle w:val="ConsPlusNormal"/>
              <w:spacing w:before="200"/>
              <w:jc w:val="both"/>
            </w:pPr>
          </w:p>
          <w:p w:rsidR="004B45F2" w:rsidRDefault="003D41DD">
            <w:pPr>
              <w:pStyle w:val="ConsPlusNormal"/>
              <w:jc w:val="both"/>
            </w:pPr>
            <w:r>
              <w:rPr>
                <w:noProof/>
                <w:position w:val="-557"/>
              </w:rPr>
              <w:drawing>
                <wp:inline distT="0" distB="0" distL="0" distR="0">
                  <wp:extent cx="5041265" cy="7202170"/>
                  <wp:effectExtent l="0" t="0" r="0" b="0"/>
                  <wp:docPr id="6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265" cy="720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5F2" w:rsidRDefault="004B45F2">
            <w:pPr>
              <w:pStyle w:val="ConsPlusNormal"/>
              <w:spacing w:before="200"/>
              <w:jc w:val="both"/>
            </w:pPr>
          </w:p>
          <w:p w:rsidR="004B45F2" w:rsidRDefault="003D41DD">
            <w:pPr>
              <w:pStyle w:val="ConsPlusNormal"/>
              <w:jc w:val="both"/>
            </w:pPr>
            <w:r>
              <w:rPr>
                <w:noProof/>
                <w:position w:val="-557"/>
              </w:rPr>
              <w:drawing>
                <wp:inline distT="0" distB="0" distL="0" distR="0">
                  <wp:extent cx="5044440" cy="7202170"/>
                  <wp:effectExtent l="0" t="0" r="0" b="0"/>
                  <wp:docPr id="7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440" cy="720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5F2" w:rsidRDefault="004B45F2">
            <w:pPr>
              <w:pStyle w:val="ConsPlusNormal"/>
              <w:spacing w:before="200"/>
              <w:jc w:val="both"/>
            </w:pPr>
          </w:p>
          <w:p w:rsidR="004B45F2" w:rsidRDefault="003D41DD">
            <w:pPr>
              <w:pStyle w:val="ConsPlusNormal"/>
              <w:jc w:val="both"/>
            </w:pPr>
            <w:r>
              <w:rPr>
                <w:noProof/>
                <w:position w:val="-557"/>
              </w:rPr>
              <w:drawing>
                <wp:inline distT="0" distB="0" distL="0" distR="0">
                  <wp:extent cx="5041900" cy="7202805"/>
                  <wp:effectExtent l="0" t="0" r="0" b="0"/>
                  <wp:docPr id="8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0" cy="720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5F2" w:rsidRDefault="004B45F2">
            <w:pPr>
              <w:pStyle w:val="ConsPlusNormal"/>
              <w:spacing w:before="200"/>
              <w:jc w:val="both"/>
            </w:pPr>
          </w:p>
          <w:p w:rsidR="004B45F2" w:rsidRDefault="003D41DD">
            <w:pPr>
              <w:pStyle w:val="ConsPlusNormal"/>
              <w:jc w:val="both"/>
            </w:pPr>
            <w:r>
              <w:rPr>
                <w:noProof/>
                <w:position w:val="-557"/>
              </w:rPr>
              <w:drawing>
                <wp:inline distT="0" distB="0" distL="0" distR="0">
                  <wp:extent cx="5044440" cy="7202170"/>
                  <wp:effectExtent l="0" t="0" r="0" b="0"/>
                  <wp:docPr id="9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440" cy="720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5F2" w:rsidRDefault="004B45F2">
            <w:pPr>
              <w:pStyle w:val="ConsPlusNormal"/>
              <w:spacing w:before="200"/>
              <w:jc w:val="both"/>
            </w:pPr>
          </w:p>
          <w:p w:rsidR="004B45F2" w:rsidRDefault="003D41DD">
            <w:pPr>
              <w:pStyle w:val="ConsPlusNormal"/>
              <w:jc w:val="both"/>
            </w:pPr>
            <w:r>
              <w:rPr>
                <w:noProof/>
                <w:position w:val="-557"/>
              </w:rPr>
              <w:drawing>
                <wp:inline distT="0" distB="0" distL="0" distR="0">
                  <wp:extent cx="5044440" cy="7202170"/>
                  <wp:effectExtent l="0" t="0" r="0" b="0"/>
                  <wp:docPr id="10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440" cy="720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5F2" w:rsidRDefault="004B45F2">
            <w:pPr>
              <w:pStyle w:val="ConsPlusNormal"/>
              <w:spacing w:before="200"/>
              <w:jc w:val="both"/>
            </w:pPr>
          </w:p>
          <w:p w:rsidR="004B45F2" w:rsidRDefault="003D41DD">
            <w:pPr>
              <w:pStyle w:val="ConsPlusNormal"/>
              <w:jc w:val="both"/>
            </w:pPr>
            <w:r>
              <w:rPr>
                <w:noProof/>
                <w:position w:val="-557"/>
              </w:rPr>
              <w:drawing>
                <wp:inline distT="0" distB="0" distL="0" distR="0">
                  <wp:extent cx="5041900" cy="7202805"/>
                  <wp:effectExtent l="0" t="0" r="0" b="0"/>
                  <wp:docPr id="11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900" cy="720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5F2" w:rsidRDefault="004B45F2">
            <w:pPr>
              <w:pStyle w:val="ConsPlusNormal"/>
              <w:spacing w:before="200"/>
              <w:jc w:val="both"/>
            </w:pPr>
          </w:p>
          <w:p w:rsidR="004B45F2" w:rsidRDefault="003D41DD">
            <w:pPr>
              <w:pStyle w:val="ConsPlusNormal"/>
              <w:jc w:val="both"/>
            </w:pPr>
            <w:r>
              <w:rPr>
                <w:noProof/>
                <w:position w:val="-557"/>
              </w:rPr>
              <w:drawing>
                <wp:inline distT="0" distB="0" distL="0" distR="0">
                  <wp:extent cx="5044440" cy="7202170"/>
                  <wp:effectExtent l="0" t="0" r="0" b="0"/>
                  <wp:docPr id="12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440" cy="720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5F2" w:rsidRDefault="004B45F2">
            <w:pPr>
              <w:pStyle w:val="ConsPlusNormal"/>
              <w:spacing w:before="200"/>
              <w:jc w:val="both"/>
            </w:pPr>
          </w:p>
          <w:p w:rsidR="004B45F2" w:rsidRDefault="003D41DD">
            <w:pPr>
              <w:pStyle w:val="ConsPlusNormal"/>
              <w:jc w:val="both"/>
            </w:pPr>
            <w:r>
              <w:rPr>
                <w:noProof/>
                <w:position w:val="-557"/>
              </w:rPr>
              <w:drawing>
                <wp:inline distT="0" distB="0" distL="0" distR="0">
                  <wp:extent cx="5044440" cy="7202170"/>
                  <wp:effectExtent l="0" t="0" r="0" b="0"/>
                  <wp:docPr id="13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4440" cy="720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5F2" w:rsidRDefault="004B45F2">
      <w:pPr>
        <w:pStyle w:val="ConsPlusNormal"/>
        <w:jc w:val="both"/>
      </w:pPr>
    </w:p>
    <w:p w:rsidR="004B45F2" w:rsidRDefault="003D41DD">
      <w:pPr>
        <w:pStyle w:val="ConsPlusNormal"/>
        <w:jc w:val="both"/>
      </w:pPr>
      <w:hyperlink r:id="rId81" w:tooltip="Типовая ситуация: НДС при УСН 2026: основные правила (Издательство &quot;Главная книга&quot;, 2026) {КонсультантПлюс}">
        <w:r>
          <w:rPr>
            <w:color w:val="0000FF"/>
          </w:rPr>
          <w:t>Декларация по НДС на УСН</w:t>
        </w:r>
      </w:hyperlink>
    </w:p>
    <w:p w:rsidR="004B45F2" w:rsidRDefault="003D41DD">
      <w:pPr>
        <w:pStyle w:val="ConsPlusNormal"/>
        <w:spacing w:before="200"/>
        <w:jc w:val="both"/>
      </w:pPr>
      <w:r>
        <w:t>Перед отправкой проверьте де</w:t>
      </w:r>
      <w:r>
        <w:t>кларацию по контрольным соотношениям и исправьте обнаруженные расхождения. Функция проверки есть в бухгалтерской программе.</w:t>
      </w:r>
    </w:p>
    <w:p w:rsidR="004B45F2" w:rsidRDefault="003D41DD">
      <w:pPr>
        <w:pStyle w:val="ConsPlusNormal"/>
        <w:spacing w:before="200"/>
        <w:jc w:val="both"/>
      </w:pPr>
      <w:r>
        <w:t>Если в истекшем квартале вы не вели никакой деятельности и не принимали НДС к вычету, сдайте нулевую декларацию. Заполните в ней тол</w:t>
      </w:r>
      <w:r>
        <w:t xml:space="preserve">ько </w:t>
      </w:r>
      <w:hyperlink r:id="rId82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титульный лист</w:t>
        </w:r>
      </w:hyperlink>
      <w:r>
        <w:t xml:space="preserve"> и </w:t>
      </w:r>
      <w:hyperlink r:id="rId83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разд. 1</w:t>
        </w:r>
      </w:hyperlink>
      <w:r>
        <w:t xml:space="preserve"> (</w:t>
      </w:r>
      <w:hyperlink r:id="rId84" w:tooltip="Приказ ФНС России от 05.11.2024 N ЕД-7-3/989@ (ред. от 18.12.2025) &quot;Об утверждении формы налоговой декларации по налогу на добавленную стоимость, порядка ее заполнения (представления), формата представления налоговой декларации по налогу на добавленную стоимос">
        <w:r>
          <w:rPr>
            <w:color w:val="0000FF"/>
          </w:rPr>
          <w:t>п. 3.1</w:t>
        </w:r>
      </w:hyperlink>
      <w:r>
        <w:t xml:space="preserve"> Порядка).</w:t>
      </w:r>
    </w:p>
    <w:p w:rsidR="004B45F2" w:rsidRDefault="004B45F2">
      <w:pPr>
        <w:pStyle w:val="ConsPlusNormal"/>
        <w:jc w:val="both"/>
      </w:pPr>
    </w:p>
    <w:tbl>
      <w:tblPr>
        <w:tblW w:w="10597" w:type="dxa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97"/>
      </w:tblGrid>
      <w:tr w:rsidR="004B45F2">
        <w:tblPrEx>
          <w:tblCellMar>
            <w:top w:w="0" w:type="dxa"/>
            <w:bottom w:w="0" w:type="dxa"/>
          </w:tblCellMar>
        </w:tblPrEx>
        <w:trPr>
          <w:jc w:val="center"/>
        </w:trPr>
        <w:tc>
          <w:tcPr>
            <w:tcW w:w="1059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tcMar>
              <w:top w:w="195" w:type="dxa"/>
              <w:left w:w="195" w:type="dxa"/>
              <w:bottom w:w="195" w:type="dxa"/>
              <w:right w:w="195" w:type="dxa"/>
            </w:tcMar>
          </w:tcPr>
          <w:p w:rsidR="004B45F2" w:rsidRDefault="003D41DD">
            <w:pPr>
              <w:pStyle w:val="ConsPlusNormal"/>
              <w:jc w:val="both"/>
            </w:pPr>
            <w:bookmarkStart w:id="3" w:name="P54"/>
            <w:bookmarkEnd w:id="3"/>
            <w:r>
              <w:rPr>
                <w:u w:val="single"/>
              </w:rPr>
              <w:t>Нулевая декларация по НДС</w:t>
            </w:r>
          </w:p>
          <w:p w:rsidR="004B45F2" w:rsidRDefault="004B45F2">
            <w:pPr>
              <w:pStyle w:val="ConsPlusNormal"/>
              <w:spacing w:before="200"/>
              <w:jc w:val="both"/>
            </w:pPr>
          </w:p>
          <w:p w:rsidR="004B45F2" w:rsidRDefault="003D41DD">
            <w:pPr>
              <w:pStyle w:val="ConsPlusNormal"/>
              <w:jc w:val="both"/>
            </w:pPr>
            <w:r>
              <w:rPr>
                <w:noProof/>
                <w:position w:val="-557"/>
              </w:rPr>
              <w:drawing>
                <wp:inline distT="0" distB="0" distL="0" distR="0">
                  <wp:extent cx="5041265" cy="7202170"/>
                  <wp:effectExtent l="0" t="0" r="0" b="0"/>
                  <wp:docPr id="14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265" cy="7202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45F2" w:rsidRDefault="004B45F2">
            <w:pPr>
              <w:pStyle w:val="ConsPlusNormal"/>
              <w:spacing w:before="200"/>
              <w:jc w:val="both"/>
            </w:pPr>
          </w:p>
          <w:p w:rsidR="004B45F2" w:rsidRDefault="003D41DD">
            <w:pPr>
              <w:pStyle w:val="ConsPlusNormal"/>
              <w:jc w:val="both"/>
            </w:pPr>
            <w:r>
              <w:rPr>
                <w:noProof/>
                <w:position w:val="-556"/>
              </w:rPr>
              <w:drawing>
                <wp:inline distT="0" distB="0" distL="0" distR="0">
                  <wp:extent cx="5041265" cy="7199630"/>
                  <wp:effectExtent l="0" t="0" r="0" b="0"/>
                  <wp:docPr id="15" name="Консультант Плюс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 preferRelativeResize="0"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1265" cy="7199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45F2" w:rsidRDefault="004B45F2">
      <w:pPr>
        <w:pStyle w:val="ConsPlusNormal"/>
        <w:jc w:val="both"/>
      </w:pPr>
    </w:p>
    <w:p w:rsidR="004B45F2" w:rsidRDefault="004B45F2">
      <w:pPr>
        <w:pStyle w:val="ConsPlusNormal"/>
        <w:jc w:val="both"/>
      </w:pPr>
    </w:p>
    <w:p w:rsidR="004B45F2" w:rsidRDefault="004B45F2">
      <w:pPr>
        <w:pStyle w:val="ConsPlusNormal"/>
        <w:jc w:val="both"/>
      </w:pPr>
    </w:p>
    <w:p w:rsidR="004B45F2" w:rsidRDefault="004B45F2">
      <w:pPr>
        <w:pStyle w:val="ConsPlusNormal"/>
        <w:pBdr>
          <w:bottom w:val="single" w:sz="6" w:space="0" w:color="auto"/>
        </w:pBdr>
        <w:spacing w:before="100" w:after="100"/>
        <w:jc w:val="both"/>
        <w:rPr>
          <w:sz w:val="2"/>
          <w:szCs w:val="2"/>
        </w:rPr>
      </w:pPr>
    </w:p>
    <w:sectPr w:rsidR="004B45F2">
      <w:headerReference w:type="default" r:id="rId87"/>
      <w:footerReference w:type="default" r:id="rId88"/>
      <w:headerReference w:type="first" r:id="rId89"/>
      <w:footerReference w:type="first" r:id="rId90"/>
      <w:pgSz w:w="11906" w:h="16838"/>
      <w:pgMar w:top="1440" w:right="566" w:bottom="1440" w:left="1133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3D41DD">
      <w:r>
        <w:separator/>
      </w:r>
    </w:p>
  </w:endnote>
  <w:endnote w:type="continuationSeparator" w:id="0">
    <w:p w:rsidR="00000000" w:rsidRDefault="003D4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5F2" w:rsidRDefault="004B45F2">
    <w:pPr>
      <w:pStyle w:val="ConsPlusNormal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94"/>
      <w:gridCol w:w="3498"/>
      <w:gridCol w:w="3395"/>
    </w:tblGrid>
    <w:tr w:rsidR="004B45F2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:rsidR="004B45F2" w:rsidRDefault="003D41DD">
          <w:pPr>
            <w:pStyle w:val="ConsPlusNormal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4B45F2" w:rsidRDefault="003D41DD">
          <w:pPr>
            <w:pStyle w:val="ConsPlusNormal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4B45F2" w:rsidRDefault="003D41DD">
          <w:pPr>
            <w:pStyle w:val="ConsPlusNormal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2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16</w:t>
          </w:r>
          <w:r>
            <w:fldChar w:fldCharType="end"/>
          </w:r>
        </w:p>
      </w:tc>
    </w:tr>
  </w:tbl>
  <w:p w:rsidR="004B45F2" w:rsidRDefault="003D41DD">
    <w:pPr>
      <w:pStyle w:val="ConsPlusNormal"/>
    </w:pPr>
    <w:r>
      <w:rPr>
        <w:sz w:val="2"/>
        <w:szCs w:val="2"/>
      </w:rPr>
      <w:t>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45F2" w:rsidRDefault="004B45F2">
    <w:pPr>
      <w:pStyle w:val="ConsPlusNormal"/>
      <w:pBdr>
        <w:bottom w:val="single" w:sz="12" w:space="0" w:color="auto"/>
      </w:pBdr>
      <w:rPr>
        <w:sz w:val="2"/>
        <w:szCs w:val="2"/>
      </w:rPr>
    </w:pPr>
  </w:p>
  <w:tbl>
    <w:tblPr>
      <w:tblW w:w="5000" w:type="pct"/>
      <w:tblCellMar>
        <w:left w:w="40" w:type="dxa"/>
        <w:right w:w="40" w:type="dxa"/>
      </w:tblCellMar>
      <w:tblLook w:val="0000" w:firstRow="0" w:lastRow="0" w:firstColumn="0" w:lastColumn="0" w:noHBand="0" w:noVBand="0"/>
    </w:tblPr>
    <w:tblGrid>
      <w:gridCol w:w="3394"/>
      <w:gridCol w:w="3498"/>
      <w:gridCol w:w="3395"/>
    </w:tblGrid>
    <w:tr w:rsidR="004B45F2">
      <w:tblPrEx>
        <w:tblCellMar>
          <w:top w:w="0" w:type="dxa"/>
          <w:bottom w:w="0" w:type="dxa"/>
        </w:tblCellMar>
      </w:tblPrEx>
      <w:trPr>
        <w:trHeight w:hRule="exact" w:val="1663"/>
      </w:trPr>
      <w:tc>
        <w:tcPr>
          <w:tcW w:w="1650" w:type="pct"/>
          <w:vAlign w:val="center"/>
        </w:tcPr>
        <w:p w:rsidR="004B45F2" w:rsidRDefault="003D41DD">
          <w:pPr>
            <w:pStyle w:val="ConsPlusNormal"/>
          </w:pPr>
          <w:r>
            <w:rPr>
              <w:rFonts w:ascii="Tahoma" w:hAnsi="Tahoma" w:cs="Tahoma"/>
              <w:b/>
              <w:noProof/>
              <w:color w:val="F58220"/>
              <w:sz w:val="28"/>
              <w:szCs w:val="28"/>
            </w:rPr>
            <w:t>КонсультантПлюс</w:t>
          </w:r>
          <w:r>
            <w:rPr>
              <w:rFonts w:ascii="Tahoma" w:hAnsi="Tahoma" w:cs="Tahoma"/>
              <w:b/>
              <w:noProof/>
              <w:sz w:val="16"/>
              <w:szCs w:val="16"/>
            </w:rPr>
            <w:br/>
            <w:t>надежная правовая поддержка</w:t>
          </w:r>
        </w:p>
      </w:tc>
      <w:tc>
        <w:tcPr>
          <w:tcW w:w="1700" w:type="pct"/>
          <w:vAlign w:val="center"/>
        </w:tcPr>
        <w:p w:rsidR="004B45F2" w:rsidRDefault="003D41DD">
          <w:pPr>
            <w:pStyle w:val="ConsPlusNormal"/>
            <w:jc w:val="center"/>
          </w:pPr>
          <w:hyperlink r:id="rId1">
            <w:r>
              <w:rPr>
                <w:rFonts w:ascii="Tahoma" w:hAnsi="Tahoma" w:cs="Tahoma"/>
                <w:b/>
                <w:color w:val="0000FF"/>
              </w:rPr>
              <w:t>www.consultant.ru</w:t>
            </w:r>
          </w:hyperlink>
        </w:p>
      </w:tc>
      <w:tc>
        <w:tcPr>
          <w:tcW w:w="1650" w:type="pct"/>
          <w:vAlign w:val="center"/>
        </w:tcPr>
        <w:p w:rsidR="004B45F2" w:rsidRDefault="003D41DD">
          <w:pPr>
            <w:pStyle w:val="ConsPlusNormal"/>
            <w:jc w:val="right"/>
          </w:pPr>
          <w:r>
            <w:rPr>
              <w:rFonts w:ascii="Tahoma" w:hAnsi="Tahoma" w:cs="Tahoma"/>
            </w:rPr>
            <w:t xml:space="preserve">Страница </w:t>
          </w:r>
          <w:r>
            <w:fldChar w:fldCharType="begin"/>
          </w:r>
          <w:r>
            <w:rPr>
              <w:rFonts w:ascii="Tahoma" w:hAnsi="Tahoma" w:cs="Tahoma"/>
            </w:rPr>
            <w:instrText>PAGE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1</w:t>
          </w:r>
          <w:r>
            <w:fldChar w:fldCharType="end"/>
          </w:r>
          <w:r>
            <w:rPr>
              <w:rFonts w:ascii="Tahoma" w:hAnsi="Tahoma" w:cs="Tahoma"/>
            </w:rPr>
            <w:t xml:space="preserve"> из </w:t>
          </w:r>
          <w:r>
            <w:fldChar w:fldCharType="begin"/>
          </w:r>
          <w:r>
            <w:rPr>
              <w:rFonts w:ascii="Tahoma" w:hAnsi="Tahoma" w:cs="Tahoma"/>
            </w:rPr>
            <w:instrText>NUMPAGES</w:instrText>
          </w:r>
          <w:r>
            <w:fldChar w:fldCharType="separate"/>
          </w:r>
          <w:r>
            <w:rPr>
              <w:rFonts w:ascii="Tahoma" w:hAnsi="Tahoma" w:cs="Tahoma"/>
              <w:noProof/>
            </w:rPr>
            <w:t>16</w:t>
          </w:r>
          <w:r>
            <w:fldChar w:fldCharType="end"/>
          </w:r>
        </w:p>
      </w:tc>
    </w:tr>
  </w:tbl>
  <w:p w:rsidR="004B45F2" w:rsidRDefault="003D41DD">
    <w:pPr>
      <w:pStyle w:val="ConsPlusNormal"/>
    </w:pPr>
    <w:r>
      <w:rPr>
        <w:sz w:val="2"/>
        <w:szCs w:val="2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3D41DD">
      <w:r>
        <w:separator/>
      </w:r>
    </w:p>
  </w:footnote>
  <w:footnote w:type="continuationSeparator" w:id="0">
    <w:p w:rsidR="00000000" w:rsidRDefault="003D41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55"/>
      <w:gridCol w:w="4732"/>
    </w:tblGrid>
    <w:tr w:rsidR="004B45F2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:rsidR="004B45F2" w:rsidRDefault="003D41DD">
          <w:pPr>
            <w:pStyle w:val="ConsPlusNormal"/>
            <w:rPr>
              <w:rFonts w:ascii="Tahoma" w:hAnsi="Tahoma" w:cs="Tahoma"/>
            </w:rPr>
          </w:pPr>
          <w:r>
            <w:rPr>
              <w:rFonts w:ascii="Tahoma" w:hAnsi="Tahoma" w:cs="Tahoma"/>
              <w:sz w:val="16"/>
              <w:szCs w:val="16"/>
            </w:rPr>
            <w:t>Типовая ситуация: Как заполнить декларацию по НДС за 1 квартал 2026 г.</w:t>
          </w:r>
          <w:r>
            <w:rPr>
              <w:rFonts w:ascii="Tahoma" w:hAnsi="Tahoma" w:cs="Tahoma"/>
              <w:sz w:val="16"/>
              <w:szCs w:val="16"/>
            </w:rPr>
            <w:br/>
            <w:t>(Издательство "Главная книга", 2026)</w:t>
          </w:r>
        </w:p>
      </w:tc>
      <w:tc>
        <w:tcPr>
          <w:tcW w:w="2300" w:type="pct"/>
          <w:vAlign w:val="center"/>
        </w:tcPr>
        <w:p w:rsidR="004B45F2" w:rsidRDefault="003D41DD">
          <w:pPr>
            <w:pStyle w:val="ConsPlusNormal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1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20.03.2026</w:t>
          </w:r>
        </w:p>
      </w:tc>
    </w:tr>
  </w:tbl>
  <w:p w:rsidR="004B45F2" w:rsidRDefault="004B45F2">
    <w:pPr>
      <w:pStyle w:val="ConsPlusNormal"/>
      <w:pBdr>
        <w:bottom w:val="single" w:sz="12" w:space="0" w:color="auto"/>
      </w:pBdr>
      <w:rPr>
        <w:sz w:val="2"/>
        <w:szCs w:val="2"/>
      </w:rPr>
    </w:pPr>
  </w:p>
  <w:p w:rsidR="004B45F2" w:rsidRDefault="004B45F2">
    <w:pPr>
      <w:pStyle w:val="ConsPlusNormal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Layout w:type="fixed"/>
      <w:tblCellMar>
        <w:left w:w="40" w:type="dxa"/>
        <w:right w:w="40" w:type="dxa"/>
      </w:tblCellMar>
      <w:tblLook w:val="04A0" w:firstRow="1" w:lastRow="0" w:firstColumn="1" w:lastColumn="0" w:noHBand="0" w:noVBand="1"/>
    </w:tblPr>
    <w:tblGrid>
      <w:gridCol w:w="5555"/>
      <w:gridCol w:w="4732"/>
    </w:tblGrid>
    <w:tr w:rsidR="004B45F2">
      <w:tblPrEx>
        <w:tblCellMar>
          <w:top w:w="0" w:type="dxa"/>
          <w:bottom w:w="0" w:type="dxa"/>
        </w:tblCellMar>
      </w:tblPrEx>
      <w:trPr>
        <w:trHeight w:hRule="exact" w:val="1683"/>
      </w:trPr>
      <w:tc>
        <w:tcPr>
          <w:tcW w:w="2700" w:type="pct"/>
          <w:vAlign w:val="center"/>
        </w:tcPr>
        <w:p w:rsidR="004B45F2" w:rsidRDefault="003D41DD">
          <w:pPr>
            <w:pStyle w:val="ConsPlusNormal"/>
            <w:rPr>
              <w:rFonts w:ascii="Tahoma" w:hAnsi="Tahoma" w:cs="Tahoma"/>
            </w:rPr>
          </w:pPr>
          <w:r>
            <w:rPr>
              <w:noProof/>
            </w:rPr>
            <w:drawing>
              <wp:inline distT="0" distB="0" distL="0" distR="0">
                <wp:extent cx="1910715" cy="445770"/>
                <wp:effectExtent l="0" t="0" r="0" b="0"/>
                <wp:docPr id="17" name="Консультант Плюс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 preferRelativeResize="0"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1071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Типовая ситуация: Как заполнить декларацию по НДС за 1 квартал 2026 г. (Издательство "Главн</w:t>
          </w:r>
          <w:r>
            <w:rPr>
              <w:rFonts w:ascii="Tahoma" w:hAnsi="Tahoma" w:cs="Tahoma"/>
              <w:sz w:val="16"/>
              <w:szCs w:val="16"/>
            </w:rPr>
            <w:t>ая книга", 2026)</w:t>
          </w:r>
        </w:p>
      </w:tc>
      <w:tc>
        <w:tcPr>
          <w:tcW w:w="2300" w:type="pct"/>
          <w:vAlign w:val="center"/>
        </w:tcPr>
        <w:p w:rsidR="004B45F2" w:rsidRDefault="003D41DD">
          <w:pPr>
            <w:pStyle w:val="ConsPlusNormal"/>
            <w:jc w:val="right"/>
            <w:rPr>
              <w:rFonts w:ascii="Tahoma" w:hAnsi="Tahoma" w:cs="Tahoma"/>
            </w:rPr>
          </w:pPr>
          <w:r>
            <w:rPr>
              <w:rFonts w:ascii="Tahoma" w:hAnsi="Tahoma" w:cs="Tahoma"/>
              <w:noProof/>
              <w:sz w:val="18"/>
              <w:szCs w:val="18"/>
            </w:rPr>
            <w:t xml:space="preserve">Документ предоставлен </w:t>
          </w:r>
          <w:hyperlink r:id="rId2" w:tooltip="КонсультантПлюс - надежная правовая система">
            <w:r>
              <w:rPr>
                <w:rFonts w:ascii="Tahoma" w:hAnsi="Tahoma" w:cs="Tahoma"/>
                <w:noProof/>
                <w:color w:val="0000FF"/>
                <w:sz w:val="18"/>
                <w:szCs w:val="18"/>
              </w:rPr>
              <w:t>КонсультантПлюс</w:t>
            </w:r>
          </w:hyperlink>
          <w:r>
            <w:rPr>
              <w:rFonts w:ascii="Tahoma" w:hAnsi="Tahoma" w:cs="Tahoma"/>
              <w:sz w:val="18"/>
              <w:szCs w:val="18"/>
            </w:rPr>
            <w:br/>
          </w:r>
          <w:r>
            <w:rPr>
              <w:rFonts w:ascii="Tahoma" w:hAnsi="Tahoma" w:cs="Tahoma"/>
              <w:sz w:val="16"/>
              <w:szCs w:val="16"/>
            </w:rPr>
            <w:t>Дата сохранения: 20.03.2026</w:t>
          </w:r>
        </w:p>
      </w:tc>
    </w:tr>
  </w:tbl>
  <w:p w:rsidR="004B45F2" w:rsidRDefault="004B45F2">
    <w:pPr>
      <w:pStyle w:val="ConsPlusNormal"/>
      <w:pBdr>
        <w:bottom w:val="single" w:sz="12" w:space="0" w:color="auto"/>
      </w:pBdr>
      <w:rPr>
        <w:sz w:val="2"/>
        <w:szCs w:val="2"/>
      </w:rPr>
    </w:pPr>
  </w:p>
  <w:p w:rsidR="004B45F2" w:rsidRDefault="004B45F2">
    <w:pPr>
      <w:pStyle w:val="ConsPlusNormal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7153D7F"/>
    <w:multiLevelType w:val="multilevel"/>
    <w:tmpl w:val="CBDEA5E4"/>
    <w:lvl w:ilvl="0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45F2"/>
    <w:rsid w:val="003D41DD"/>
    <w:rsid w:val="004B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45F8D9-B621-4137-AD58-2218E3F25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pPr>
      <w:widowControl w:val="0"/>
      <w:autoSpaceDE w:val="0"/>
      <w:autoSpaceDN w:val="0"/>
    </w:pPr>
    <w:rPr>
      <w:rFonts w:ascii="Arial" w:hAnsi="Arial" w:cs="Arial"/>
    </w:rPr>
  </w:style>
  <w:style w:type="paragraph" w:customStyle="1" w:styleId="ConsPlusNonformat">
    <w:name w:val="ConsPlusNonforma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">
    <w:name w:val="ConsPlusTitle"/>
    <w:pPr>
      <w:widowControl w:val="0"/>
      <w:autoSpaceDE w:val="0"/>
      <w:autoSpaceDN w:val="0"/>
    </w:pPr>
    <w:rPr>
      <w:rFonts w:ascii="Arial" w:hAnsi="Arial" w:cs="Arial"/>
      <w:b/>
    </w:rPr>
  </w:style>
  <w:style w:type="paragraph" w:customStyle="1" w:styleId="ConsPlusCell">
    <w:name w:val="ConsPlusCell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DocList">
    <w:name w:val="ConsPlusDocList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JurTerm0">
    <w:name w:val="ConsPlusJurTerm"/>
    <w:pPr>
      <w:widowControl w:val="0"/>
      <w:autoSpaceDE w:val="0"/>
      <w:autoSpaceDN w:val="0"/>
    </w:pPr>
    <w:rPr>
      <w:rFonts w:ascii="Tahoma" w:hAnsi="Tahoma" w:cs="Tahoma"/>
      <w:sz w:val="26"/>
    </w:rPr>
  </w:style>
  <w:style w:type="paragraph" w:customStyle="1" w:styleId="ConsPlusTextList">
    <w:name w:val="ConsPlusTextList"/>
    <w:pPr>
      <w:widowControl w:val="0"/>
      <w:autoSpaceDE w:val="0"/>
      <w:autoSpaceDN w:val="0"/>
    </w:pPr>
    <w:rPr>
      <w:rFonts w:ascii="Arial" w:hAnsi="Arial" w:cs="Arial"/>
    </w:rPr>
  </w:style>
  <w:style w:type="paragraph" w:customStyle="1" w:styleId="ConsPlusTextList0">
    <w:name w:val="ConsPlusTextList"/>
    <w:pPr>
      <w:widowControl w:val="0"/>
      <w:autoSpaceDE w:val="0"/>
      <w:autoSpaceDN w:val="0"/>
    </w:pPr>
    <w:rPr>
      <w:rFonts w:ascii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login.consultant.ru/link/?req=doc&amp;base=PBI&amp;n=360079&amp;dst=100008" TargetMode="External"/><Relationship Id="rId21" Type="http://schemas.openxmlformats.org/officeDocument/2006/relationships/hyperlink" Target="https://login.consultant.ru/link/?req=doc&amp;base=LAW&amp;n=525628&amp;dst=31" TargetMode="External"/><Relationship Id="rId42" Type="http://schemas.openxmlformats.org/officeDocument/2006/relationships/hyperlink" Target="https://login.consultant.ru/link/?req=doc&amp;base=LAW&amp;n=525628&amp;dst=35" TargetMode="External"/><Relationship Id="rId47" Type="http://schemas.openxmlformats.org/officeDocument/2006/relationships/hyperlink" Target="https://login.consultant.ru/link/?req=doc&amp;base=LAW&amp;n=525628&amp;dst=475" TargetMode="External"/><Relationship Id="rId63" Type="http://schemas.openxmlformats.org/officeDocument/2006/relationships/hyperlink" Target="https://login.consultant.ru/link/?req=doc&amp;base=LAW&amp;n=525628&amp;dst=101070" TargetMode="External"/><Relationship Id="rId68" Type="http://schemas.openxmlformats.org/officeDocument/2006/relationships/image" Target="media/image1.png"/><Relationship Id="rId84" Type="http://schemas.openxmlformats.org/officeDocument/2006/relationships/hyperlink" Target="https://login.consultant.ru/link/?req=doc&amp;base=LAW&amp;n=525628&amp;dst=100860" TargetMode="External"/><Relationship Id="rId89" Type="http://schemas.openxmlformats.org/officeDocument/2006/relationships/header" Target="header2.xml"/><Relationship Id="rId16" Type="http://schemas.openxmlformats.org/officeDocument/2006/relationships/hyperlink" Target="https://login.consultant.ru/link/?req=doc&amp;base=LAW&amp;n=525628&amp;dst=100497" TargetMode="External"/><Relationship Id="rId11" Type="http://schemas.openxmlformats.org/officeDocument/2006/relationships/hyperlink" Target="https://login.consultant.ru/link/?req=doc&amp;base=LAW&amp;n=525628&amp;dst=37" TargetMode="External"/><Relationship Id="rId32" Type="http://schemas.openxmlformats.org/officeDocument/2006/relationships/hyperlink" Target="https://login.consultant.ru/link/?req=doc&amp;base=LAW&amp;n=525628&amp;dst=122" TargetMode="External"/><Relationship Id="rId37" Type="http://schemas.openxmlformats.org/officeDocument/2006/relationships/hyperlink" Target="https://login.consultant.ru/link/?req=doc&amp;base=LAW&amp;n=525628&amp;dst=308" TargetMode="External"/><Relationship Id="rId53" Type="http://schemas.openxmlformats.org/officeDocument/2006/relationships/hyperlink" Target="https://login.consultant.ru/link/?req=doc&amp;base=LAW&amp;n=525628&amp;dst=84" TargetMode="External"/><Relationship Id="rId58" Type="http://schemas.openxmlformats.org/officeDocument/2006/relationships/hyperlink" Target="https://login.consultant.ru/link/?req=doc&amp;base=PBI&amp;n=199884&amp;dst=100002" TargetMode="External"/><Relationship Id="rId74" Type="http://schemas.openxmlformats.org/officeDocument/2006/relationships/image" Target="media/image7.png"/><Relationship Id="rId79" Type="http://schemas.openxmlformats.org/officeDocument/2006/relationships/image" Target="media/image12.png"/><Relationship Id="rId5" Type="http://schemas.openxmlformats.org/officeDocument/2006/relationships/footnotes" Target="footnotes.xml"/><Relationship Id="rId90" Type="http://schemas.openxmlformats.org/officeDocument/2006/relationships/footer" Target="footer2.xml"/><Relationship Id="rId14" Type="http://schemas.openxmlformats.org/officeDocument/2006/relationships/hyperlink" Target="https://login.consultant.ru/link/?req=doc&amp;base=LAW&amp;n=525628&amp;dst=145" TargetMode="External"/><Relationship Id="rId22" Type="http://schemas.openxmlformats.org/officeDocument/2006/relationships/hyperlink" Target="https://login.consultant.ru/link/?req=doc&amp;base=LAW&amp;n=525628&amp;dst=122" TargetMode="External"/><Relationship Id="rId27" Type="http://schemas.openxmlformats.org/officeDocument/2006/relationships/hyperlink" Target="https://login.consultant.ru/link/?req=doc&amp;base=PBI&amp;n=76621&amp;dst=100002" TargetMode="External"/><Relationship Id="rId30" Type="http://schemas.openxmlformats.org/officeDocument/2006/relationships/hyperlink" Target="https://login.consultant.ru/link/?req=doc&amp;base=PBI&amp;n=199919&amp;dst=100013" TargetMode="External"/><Relationship Id="rId35" Type="http://schemas.openxmlformats.org/officeDocument/2006/relationships/hyperlink" Target="https://login.consultant.ru/link/?req=doc&amp;base=PBI&amp;n=281040&amp;dst=100004" TargetMode="External"/><Relationship Id="rId43" Type="http://schemas.openxmlformats.org/officeDocument/2006/relationships/hyperlink" Target="https://login.consultant.ru/link/?req=doc&amp;base=LAW&amp;n=525628&amp;dst=36" TargetMode="External"/><Relationship Id="rId48" Type="http://schemas.openxmlformats.org/officeDocument/2006/relationships/hyperlink" Target="https://login.consultant.ru/link/?req=doc&amp;base=LAW&amp;n=525628&amp;dst=101043" TargetMode="External"/><Relationship Id="rId56" Type="http://schemas.openxmlformats.org/officeDocument/2006/relationships/hyperlink" Target="https://login.consultant.ru/link/?req=doc&amp;base=PBI&amp;n=262726&amp;dst=100021" TargetMode="External"/><Relationship Id="rId64" Type="http://schemas.openxmlformats.org/officeDocument/2006/relationships/hyperlink" Target="https://login.consultant.ru/link/?req=doc&amp;base=LAW&amp;n=525628&amp;dst=6" TargetMode="External"/><Relationship Id="rId69" Type="http://schemas.openxmlformats.org/officeDocument/2006/relationships/image" Target="media/image2.png"/><Relationship Id="rId77" Type="http://schemas.openxmlformats.org/officeDocument/2006/relationships/image" Target="media/image10.png"/><Relationship Id="rId8" Type="http://schemas.openxmlformats.org/officeDocument/2006/relationships/hyperlink" Target="https://login.consultant.ru/link/?req=doc&amp;base=LAW&amp;n=525628&amp;dst=31" TargetMode="External"/><Relationship Id="rId51" Type="http://schemas.openxmlformats.org/officeDocument/2006/relationships/hyperlink" Target="https://login.consultant.ru/link/?req=doc&amp;base=PBI&amp;n=199884&amp;dst=100005" TargetMode="External"/><Relationship Id="rId72" Type="http://schemas.openxmlformats.org/officeDocument/2006/relationships/image" Target="media/image5.png"/><Relationship Id="rId80" Type="http://schemas.openxmlformats.org/officeDocument/2006/relationships/image" Target="media/image13.png"/><Relationship Id="rId85" Type="http://schemas.openxmlformats.org/officeDocument/2006/relationships/image" Target="media/image14.png"/><Relationship Id="rId3" Type="http://schemas.openxmlformats.org/officeDocument/2006/relationships/settings" Target="settings.xml"/><Relationship Id="rId12" Type="http://schemas.openxmlformats.org/officeDocument/2006/relationships/hyperlink" Target="https://login.consultant.ru/link/?req=doc&amp;base=LAW&amp;n=525628&amp;dst=122" TargetMode="External"/><Relationship Id="rId17" Type="http://schemas.openxmlformats.org/officeDocument/2006/relationships/hyperlink" Target="https://login.consultant.ru/link/?req=doc&amp;base=LAW&amp;n=525375&amp;dst=100281" TargetMode="External"/><Relationship Id="rId25" Type="http://schemas.openxmlformats.org/officeDocument/2006/relationships/hyperlink" Target="https://login.consultant.ru/link/?req=doc&amp;base=PBI&amp;n=3346&amp;dst=100019" TargetMode="External"/><Relationship Id="rId33" Type="http://schemas.openxmlformats.org/officeDocument/2006/relationships/hyperlink" Target="https://login.consultant.ru/link/?req=doc&amp;base=LAW&amp;n=525628&amp;dst=100497" TargetMode="External"/><Relationship Id="rId38" Type="http://schemas.openxmlformats.org/officeDocument/2006/relationships/hyperlink" Target="https://login.consultant.ru/link/?req=doc&amp;base=PBI&amp;n=67919" TargetMode="External"/><Relationship Id="rId46" Type="http://schemas.openxmlformats.org/officeDocument/2006/relationships/hyperlink" Target="https://login.consultant.ru/link/?req=doc&amp;base=PBI&amp;n=199853&amp;dst=100002" TargetMode="External"/><Relationship Id="rId59" Type="http://schemas.openxmlformats.org/officeDocument/2006/relationships/hyperlink" Target="https://login.consultant.ru/link/?req=doc&amp;base=LAW&amp;n=525628&amp;dst=99" TargetMode="External"/><Relationship Id="rId67" Type="http://schemas.openxmlformats.org/officeDocument/2006/relationships/hyperlink" Target="https://login.consultant.ru/link/?req=doc&amp;base=LAW&amp;n=381984&amp;dst=100005" TargetMode="External"/><Relationship Id="rId20" Type="http://schemas.openxmlformats.org/officeDocument/2006/relationships/hyperlink" Target="https://login.consultant.ru/link/?req=doc&amp;base=LAW&amp;n=525628&amp;dst=6" TargetMode="External"/><Relationship Id="rId41" Type="http://schemas.openxmlformats.org/officeDocument/2006/relationships/hyperlink" Target="https://login.consultant.ru/link/?req=doc&amp;base=LAW&amp;n=525628&amp;dst=100226" TargetMode="External"/><Relationship Id="rId54" Type="http://schemas.openxmlformats.org/officeDocument/2006/relationships/hyperlink" Target="https://login.consultant.ru/link/?req=doc&amp;base=PBI&amp;n=87965" TargetMode="External"/><Relationship Id="rId62" Type="http://schemas.openxmlformats.org/officeDocument/2006/relationships/hyperlink" Target="https://login.consultant.ru/link/?req=doc&amp;base=LAW&amp;n=525628&amp;dst=101063" TargetMode="External"/><Relationship Id="rId70" Type="http://schemas.openxmlformats.org/officeDocument/2006/relationships/image" Target="media/image3.png"/><Relationship Id="rId75" Type="http://schemas.openxmlformats.org/officeDocument/2006/relationships/image" Target="media/image8.png"/><Relationship Id="rId83" Type="http://schemas.openxmlformats.org/officeDocument/2006/relationships/hyperlink" Target="https://login.consultant.ru/link/?req=doc&amp;base=LAW&amp;n=525628&amp;dst=6" TargetMode="External"/><Relationship Id="rId88" Type="http://schemas.openxmlformats.org/officeDocument/2006/relationships/footer" Target="footer1.xm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login.consultant.ru/link/?req=doc&amp;base=LAW&amp;n=525628&amp;dst=148" TargetMode="External"/><Relationship Id="rId23" Type="http://schemas.openxmlformats.org/officeDocument/2006/relationships/hyperlink" Target="https://login.consultant.ru/link/?req=doc&amp;base=LAW&amp;n=525628&amp;dst=100497" TargetMode="External"/><Relationship Id="rId28" Type="http://schemas.openxmlformats.org/officeDocument/2006/relationships/hyperlink" Target="https://login.consultant.ru/link/?req=doc&amp;base=PBI&amp;n=215935&amp;dst=100022" TargetMode="External"/><Relationship Id="rId36" Type="http://schemas.openxmlformats.org/officeDocument/2006/relationships/hyperlink" Target="https://login.consultant.ru/link/?req=doc&amp;base=LAW&amp;n=525628&amp;dst=180" TargetMode="External"/><Relationship Id="rId49" Type="http://schemas.openxmlformats.org/officeDocument/2006/relationships/hyperlink" Target="https://login.consultant.ru/link/?req=doc&amp;base=LAW&amp;n=525628&amp;dst=61" TargetMode="External"/><Relationship Id="rId57" Type="http://schemas.openxmlformats.org/officeDocument/2006/relationships/hyperlink" Target="https://login.consultant.ru/link/?req=doc&amp;base=LAW&amp;n=525628&amp;dst=89" TargetMode="External"/><Relationship Id="rId10" Type="http://schemas.openxmlformats.org/officeDocument/2006/relationships/hyperlink" Target="https://login.consultant.ru/link/?req=doc&amp;base=LAW&amp;n=525628&amp;dst=36" TargetMode="External"/><Relationship Id="rId31" Type="http://schemas.openxmlformats.org/officeDocument/2006/relationships/hyperlink" Target="https://login.consultant.ru/link/?req=doc&amp;base=LAW&amp;n=525628&amp;dst=101231" TargetMode="External"/><Relationship Id="rId44" Type="http://schemas.openxmlformats.org/officeDocument/2006/relationships/hyperlink" Target="https://login.consultant.ru/link/?req=doc&amp;base=PBI&amp;n=22515&amp;dst=100024" TargetMode="External"/><Relationship Id="rId52" Type="http://schemas.openxmlformats.org/officeDocument/2006/relationships/hyperlink" Target="https://login.consultant.ru/link/?req=doc&amp;base=LAW&amp;n=525628&amp;dst=101046" TargetMode="External"/><Relationship Id="rId60" Type="http://schemas.openxmlformats.org/officeDocument/2006/relationships/hyperlink" Target="https://login.consultant.ru/link/?req=doc&amp;base=PBI&amp;n=199853&amp;dst=100008" TargetMode="External"/><Relationship Id="rId65" Type="http://schemas.openxmlformats.org/officeDocument/2006/relationships/hyperlink" Target="https://login.consultant.ru/link/?req=doc&amp;base=LAW&amp;n=525628&amp;dst=21" TargetMode="External"/><Relationship Id="rId73" Type="http://schemas.openxmlformats.org/officeDocument/2006/relationships/image" Target="media/image6.png"/><Relationship Id="rId78" Type="http://schemas.openxmlformats.org/officeDocument/2006/relationships/image" Target="media/image11.png"/><Relationship Id="rId81" Type="http://schemas.openxmlformats.org/officeDocument/2006/relationships/hyperlink" Target="https://login.consultant.ru/link/?req=doc&amp;base=PBI&amp;n=333083&amp;dst=100062" TargetMode="External"/><Relationship Id="rId86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hyperlink" Target="https://login.consultant.ru/link/?req=doc&amp;base=LAW&amp;n=525628&amp;dst=35" TargetMode="External"/><Relationship Id="rId13" Type="http://schemas.openxmlformats.org/officeDocument/2006/relationships/hyperlink" Target="https://login.consultant.ru/link/?req=doc&amp;base=PBI&amp;n=199853&amp;dst=100008" TargetMode="External"/><Relationship Id="rId18" Type="http://schemas.openxmlformats.org/officeDocument/2006/relationships/hyperlink" Target="https://login.consultant.ru/link/?req=doc&amp;base=LAW&amp;n=525375&amp;dst=100285" TargetMode="External"/><Relationship Id="rId39" Type="http://schemas.openxmlformats.org/officeDocument/2006/relationships/hyperlink" Target="https://login.consultant.ru/link/?req=doc&amp;base=LAW&amp;n=525628&amp;dst=31" TargetMode="External"/><Relationship Id="rId34" Type="http://schemas.openxmlformats.org/officeDocument/2006/relationships/hyperlink" Target="https://login.consultant.ru/link/?req=doc&amp;base=PBI&amp;n=218631" TargetMode="External"/><Relationship Id="rId50" Type="http://schemas.openxmlformats.org/officeDocument/2006/relationships/hyperlink" Target="https://login.consultant.ru/link/?req=doc&amp;base=LAW&amp;n=525628&amp;dst=64" TargetMode="External"/><Relationship Id="rId55" Type="http://schemas.openxmlformats.org/officeDocument/2006/relationships/hyperlink" Target="https://login.consultant.ru/link/?req=doc&amp;base=LAW&amp;n=525628&amp;dst=87" TargetMode="External"/><Relationship Id="rId76" Type="http://schemas.openxmlformats.org/officeDocument/2006/relationships/image" Target="media/image9.png"/><Relationship Id="rId7" Type="http://schemas.openxmlformats.org/officeDocument/2006/relationships/hyperlink" Target="https://login.consultant.ru/link/?req=doc&amp;base=LAW&amp;n=525628&amp;dst=100037" TargetMode="External"/><Relationship Id="rId71" Type="http://schemas.openxmlformats.org/officeDocument/2006/relationships/image" Target="media/image4.png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29" Type="http://schemas.openxmlformats.org/officeDocument/2006/relationships/hyperlink" Target="https://login.consultant.ru/link/?req=doc&amp;base=PBI&amp;n=83344&amp;dst=100025" TargetMode="External"/><Relationship Id="rId24" Type="http://schemas.openxmlformats.org/officeDocument/2006/relationships/hyperlink" Target="https://login.consultant.ru/link/?req=doc&amp;base=PBI&amp;n=83817&amp;dst=100007" TargetMode="External"/><Relationship Id="rId40" Type="http://schemas.openxmlformats.org/officeDocument/2006/relationships/hyperlink" Target="https://login.consultant.ru/link/?req=doc&amp;base=LAW&amp;n=525628&amp;dst=100195" TargetMode="External"/><Relationship Id="rId45" Type="http://schemas.openxmlformats.org/officeDocument/2006/relationships/hyperlink" Target="https://login.consultant.ru/link/?req=doc&amp;base=LAW&amp;n=525628&amp;dst=59" TargetMode="External"/><Relationship Id="rId66" Type="http://schemas.openxmlformats.org/officeDocument/2006/relationships/hyperlink" Target="https://login.consultant.ru/link/?req=doc&amp;base=LAW&amp;n=518230&amp;dst=100257" TargetMode="External"/><Relationship Id="rId87" Type="http://schemas.openxmlformats.org/officeDocument/2006/relationships/header" Target="header1.xml"/><Relationship Id="rId61" Type="http://schemas.openxmlformats.org/officeDocument/2006/relationships/hyperlink" Target="https://login.consultant.ru/link/?req=doc&amp;base=LAW&amp;n=525628&amp;dst=101053" TargetMode="External"/><Relationship Id="rId82" Type="http://schemas.openxmlformats.org/officeDocument/2006/relationships/hyperlink" Target="https://login.consultant.ru/link/?req=doc&amp;base=LAW&amp;n=525628&amp;dst=100037" TargetMode="External"/><Relationship Id="rId19" Type="http://schemas.openxmlformats.org/officeDocument/2006/relationships/hyperlink" Target="https://login.consultant.ru/link/?req=doc&amp;base=LAW&amp;n=525628&amp;dst=100037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consultant.ru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consultant.ru" TargetMode="External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92D5962B</Template>
  <TotalTime>2</TotalTime>
  <Pages>16</Pages>
  <Words>3416</Words>
  <Characters>19476</Characters>
  <Application>Microsoft Office Word</Application>
  <DocSecurity>0</DocSecurity>
  <Lines>162</Lines>
  <Paragraphs>45</Paragraphs>
  <ScaleCrop>false</ScaleCrop>
  <Company>КонсультантПлюс Версия 4026.00.01</Company>
  <LinksUpToDate>false</LinksUpToDate>
  <CharactersWithSpaces>22847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ситуация: Как заполнить декларацию по НДС за 1 квартал 2026 г.
(Издательство "Главная книга", 2026)</dc:title>
  <cp:lastModifiedBy>Сушок Елена Юрьевна</cp:lastModifiedBy>
  <cp:revision>2</cp:revision>
  <dcterms:created xsi:type="dcterms:W3CDTF">2026-03-20T07:37:00Z</dcterms:created>
  <dcterms:modified xsi:type="dcterms:W3CDTF">2026-03-20T07:39:00Z</dcterms:modified>
</cp:coreProperties>
</file>