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Статья: Дебиторская задолженность попала под обеспечительные меры ФНС: что изменилось с 1 января 2026 г.</w:t>
              <w:br/>
              <w:t xml:space="preserve">(Солнцева М.)</w:t>
              <w:br/>
              <w:t xml:space="preserve">("ЭЖ-Бухгалтер", 2026, N 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"ЭЖ-Бухгалтер", 2026, N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ДЕБИТОРСКАЯ ЗАДОЛЖЕННОСТЬ ПОПАЛА ПОД ОБЕСПЕЧИТЕЛЬНЫЕ</w:t>
      </w:r>
    </w:p>
    <w:p>
      <w:pPr>
        <w:pStyle w:val="2"/>
        <w:jc w:val="center"/>
      </w:pPr>
      <w:r>
        <w:rPr>
          <w:sz w:val="20"/>
        </w:rPr>
        <w:t xml:space="preserve">МЕРЫ ФНС: ЧТО ИЗМЕНИЛОСЬ С 1 ЯНВАРЯ 2026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нового года налоговые органы получили право применять обеспечительные меры в отношении дебиторской задолженности организаций и предпринимателей. Соответствующие изменения внесены в Налоговый </w:t>
      </w:r>
      <w:hyperlink w:history="0" r:id="rId8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, что позволяет ФНС накладывать запрет на отчуждение или передачу в залог всего имущества налогоплательщика, включая имущественные права. Об этом ФНС России напомнила в своем </w:t>
      </w:r>
      <w:hyperlink w:history="0" r:id="rId9" w:tooltip="&lt;Письмо&gt; ФНС России от 19.01.2026 N Д-18-18/2@ &quot;В отношении федерального закона N 425-ФЗ от 28.11.2025 (п. 10 ст. 101 НК РФ)&quot;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от 19.01.2026 N Д-18-18/2@.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Почему раньше обеспечительные меры</w:t>
      </w:r>
    </w:p>
    <w:p>
      <w:pPr>
        <w:pStyle w:val="2"/>
        <w:jc w:val="center"/>
      </w:pPr>
      <w:r>
        <w:rPr>
          <w:sz w:val="20"/>
        </w:rPr>
        <w:t xml:space="preserve">к дебиторке не применялись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Дебиторская задолженность представляет собой имущественное право. Открытый перечень видов имущества, на которые налоговый орган может наложить запрет на отчуждение, содержится в </w:t>
      </w:r>
      <w:hyperlink w:history="0" r:id="rId10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подп. 1 п. 10 ст. 101</w:t>
        </w:r>
      </w:hyperlink>
      <w:r>
        <w:rPr>
          <w:sz w:val="20"/>
        </w:rPr>
        <w:t xml:space="preserve"> НК РФ. Дебиторская задолженность в этом перечне не содержится. Кроме того, </w:t>
      </w:r>
      <w:hyperlink w:history="0" r:id="rId11" w:tooltip="&quot;Налоговый кодекс Российской Федерации (часть первая)&quot; от 31.07.1998 N 146-ФЗ (ред. от 28.11.2025) ------------ Недействующая редакция {КонсультантПлюс}">
        <w:r>
          <w:rPr>
            <w:sz w:val="20"/>
            <w:color w:val="0000ff"/>
          </w:rPr>
          <w:t xml:space="preserve">п. 2 ст. 38</w:t>
        </w:r>
      </w:hyperlink>
      <w:r>
        <w:rPr>
          <w:sz w:val="20"/>
        </w:rPr>
        <w:t xml:space="preserve"> НК РФ определял, что для целей Налогового кодекса не признаются имуществом имущественные права, за исключением безналичных денежных средств и бездокументарных ценных бумаг. Учитывая это, Верховный Суд РФ в </w:t>
      </w:r>
      <w:hyperlink w:history="0" r:id="rId12" w:tooltip="Решение Верховного Суда РФ от 12.05.2022 N АКПИ22-118 &lt;Об отказе в удовлетворении заявления о признании частично недействующими форм &quot;Решение о принятии обеспечительных мер&quot; и &quot;Решение об отмене обеспечительных мер&quot;, утв. приказом ФНС РФ от 07.11.2018 N ММВ-7-2/628@&gt; {КонсультантПлюс}">
        <w:r>
          <w:rPr>
            <w:sz w:val="20"/>
            <w:color w:val="0000ff"/>
          </w:rPr>
          <w:t xml:space="preserve">Решении</w:t>
        </w:r>
      </w:hyperlink>
      <w:r>
        <w:rPr>
          <w:sz w:val="20"/>
        </w:rPr>
        <w:t xml:space="preserve"> от 12.05.2022 N АКПИ22-118 разъяснил, что, поскольку дебиторская задолженность не поименована в качестве вида объектов гражданских прав, относимых к имущественным правам для целей </w:t>
      </w:r>
      <w:hyperlink w:history="0" r:id="rId13" w:tooltip="&quot;Налоговый кодекс Российской Федерации (часть первая)&quot; от 31.07.1998 N 146-ФЗ (ред. от 28.11.2025) ------------ Недействующая редакция {КонсультантПлюс}">
        <w:r>
          <w:rPr>
            <w:sz w:val="20"/>
            <w:color w:val="0000ff"/>
          </w:rPr>
          <w:t xml:space="preserve">НК</w:t>
        </w:r>
      </w:hyperlink>
      <w:r>
        <w:rPr>
          <w:sz w:val="20"/>
        </w:rPr>
        <w:t xml:space="preserve"> РФ, она не может использоваться при определении имеющегося у налогоплательщика имущества в целях определения возможности принятия обеспечительных мер.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Такой же позиции придерживалась и ФНС России. В </w:t>
      </w:r>
      <w:hyperlink w:history="0" r:id="rId14" w:tooltip="&lt;Письмо&gt; ФНС России от 20.07.2023 N КЧ-4-18/9261@ &quot;В отношении п. 10 ст. 101 НК РФ&quot; ------------ Утратил силу или отменен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от 20.07.2023 N КЧ-4-18/9261@ она указала, что правовые основания для применения </w:t>
      </w:r>
      <w:hyperlink w:history="0" r:id="rId15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п. 10 ст. 101</w:t>
        </w:r>
      </w:hyperlink>
      <w:r>
        <w:rPr>
          <w:sz w:val="20"/>
        </w:rPr>
        <w:t xml:space="preserve"> НК РФ (принятия обеспечительных мер) в отношении дебиторской задолженности отсутствуют.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Что изменилось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1 января 2026 г. определение имущества, данное в </w:t>
      </w:r>
      <w:hyperlink w:history="0" r:id="rId16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п. 2 ст. 38</w:t>
        </w:r>
      </w:hyperlink>
      <w:r>
        <w:rPr>
          <w:sz w:val="20"/>
        </w:rPr>
        <w:t xml:space="preserve"> НК РФ, утратило силу. Теперь определение имущества содержится в </w:t>
      </w:r>
      <w:hyperlink w:history="0" r:id="rId17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п. 2 ст. 11</w:t>
        </w:r>
      </w:hyperlink>
      <w:r>
        <w:rPr>
          <w:sz w:val="20"/>
        </w:rPr>
        <w:t xml:space="preserve"> НК РФ. И в этом определении указано, что для целей, предусмотренных Налоговым </w:t>
      </w:r>
      <w:hyperlink w:history="0" r:id="rId18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, ареста и запрета на отчуждение (передачу в залог) под имуществом понимаются виды объектов гражданских прав, относящихся к имуществу в соответствии с </w:t>
      </w:r>
      <w:hyperlink w:history="0" r:id="rId1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ГК</w:t>
        </w:r>
      </w:hyperlink>
      <w:r>
        <w:rPr>
          <w:sz w:val="20"/>
        </w:rPr>
        <w:t xml:space="preserve"> РФ.</w:t>
      </w:r>
    </w:p>
    <w:p>
      <w:pPr>
        <w:pStyle w:val="0"/>
        <w:spacing w:before="200" w:lineRule="auto"/>
        <w:ind w:firstLine="540"/>
        <w:jc w:val="both"/>
      </w:pPr>
      <w:hyperlink w:history="0" r:id="rId20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Статья 128</w:t>
        </w:r>
      </w:hyperlink>
      <w:r>
        <w:rPr>
          <w:sz w:val="20"/>
        </w:rPr>
        <w:t xml:space="preserve"> ГК РФ к объектам гражданских прав относит: вещи (включая наличные деньги и документарные ценные бумаги), иное имущество, в том числе имущественные права (включая безналичные денежные средства, в частности цифровые рубли, бездокументарные ценные бумаги, цифровые права); результаты работ и оказания услуг; охраняемые результаты интеллектуальной деятельности и приравненные к ним средства индивидуализации (интеллектуальная собственность); нематериальные блага.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этим ФНС России в комментируемом </w:t>
      </w:r>
      <w:hyperlink w:history="0" r:id="rId21" w:tooltip="&lt;Письмо&gt; ФНС России от 19.01.2026 N Д-18-18/2@ &quot;В отношении федерального закона N 425-ФЗ от 28.11.2025 (п. 10 ст. 101 НК РФ)&quot; {КонсультантПлюс}">
        <w:r>
          <w:rPr>
            <w:sz w:val="20"/>
            <w:color w:val="0000ff"/>
          </w:rPr>
          <w:t xml:space="preserve">письме</w:t>
        </w:r>
      </w:hyperlink>
      <w:r>
        <w:rPr>
          <w:sz w:val="20"/>
        </w:rPr>
        <w:t xml:space="preserve"> пришла к выводу, что с 1 января 2026 г. в целях реализации порядка обеспечения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правонарушения, предусмотренного </w:t>
      </w:r>
      <w:hyperlink w:history="0" r:id="rId22" w:tooltip="&quot;Налоговый кодекс Российской Федерации (часть первая)&quot; от 31.07.1998 N 146-ФЗ (ред. от 28.11.2025)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п. 10 ст. 101</w:t>
        </w:r>
      </w:hyperlink>
      <w:r>
        <w:rPr>
          <w:sz w:val="20"/>
        </w:rPr>
        <w:t xml:space="preserve"> НК РФ, ограничение права собственности налогоплательщика в виде запрета на отчуждение (передачу в залог) может быть установлено в отношении всего его имущества, включая имущественные права, объекты интеллектуальной собственности.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М. Солнцева</w:t>
      </w:r>
    </w:p>
    <w:p>
      <w:pPr>
        <w:pStyle w:val="0"/>
        <w:jc w:val="right"/>
      </w:pPr>
      <w:r>
        <w:rPr>
          <w:sz w:val="20"/>
        </w:rPr>
        <w:t xml:space="preserve">"ЭЖ"</w:t>
      </w:r>
    </w:p>
    <w:p>
      <w:pPr>
        <w:pStyle w:val="0"/>
      </w:pPr>
      <w:r>
        <w:rPr>
          <w:sz w:val="20"/>
        </w:rPr>
        <w:t xml:space="preserve">Подписано в печать</w:t>
      </w:r>
    </w:p>
    <w:p>
      <w:pPr>
        <w:pStyle w:val="0"/>
        <w:spacing w:before="200" w:lineRule="auto"/>
      </w:pPr>
      <w:r>
        <w:rPr>
          <w:sz w:val="20"/>
        </w:rPr>
        <w:t xml:space="preserve">29.01.2026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Статья: Дебиторская задолженность попала под обеспечительные меры ФНС: что изменилось с 1 января 2026 г.</w:t>
            <w:br/>
            <w:t>(Солнцева М.)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617" TargetMode = "External"/><Relationship Id="rId9" Type="http://schemas.openxmlformats.org/officeDocument/2006/relationships/hyperlink" Target="https://login.consultant.ru/link/?req=doc&amp;base=LAW&amp;n=524656" TargetMode = "External"/><Relationship Id="rId10" Type="http://schemas.openxmlformats.org/officeDocument/2006/relationships/hyperlink" Target="https://login.consultant.ru/link/?req=doc&amp;base=LAW&amp;n=495617&amp;dst=810" TargetMode = "External"/><Relationship Id="rId11" Type="http://schemas.openxmlformats.org/officeDocument/2006/relationships/hyperlink" Target="https://login.consultant.ru/link/?req=doc&amp;base=LAW&amp;n=520119&amp;dst=5019" TargetMode = "External"/><Relationship Id="rId12" Type="http://schemas.openxmlformats.org/officeDocument/2006/relationships/hyperlink" Target="https://login.consultant.ru/link/?req=doc&amp;base=LAW&amp;n=419118&amp;dst=100043" TargetMode = "External"/><Relationship Id="rId13" Type="http://schemas.openxmlformats.org/officeDocument/2006/relationships/hyperlink" Target="https://login.consultant.ru/link/?req=doc&amp;base=LAW&amp;n=520119&amp;dst=5018" TargetMode = "External"/><Relationship Id="rId14" Type="http://schemas.openxmlformats.org/officeDocument/2006/relationships/hyperlink" Target="https://login.consultant.ru/link/?req=doc&amp;base=LAW&amp;n=455083&amp;dst=100008" TargetMode = "External"/><Relationship Id="rId15" Type="http://schemas.openxmlformats.org/officeDocument/2006/relationships/hyperlink" Target="https://login.consultant.ru/link/?req=doc&amp;base=LAW&amp;n=495617&amp;dst=6404" TargetMode = "External"/><Relationship Id="rId16" Type="http://schemas.openxmlformats.org/officeDocument/2006/relationships/hyperlink" Target="https://login.consultant.ru/link/?req=doc&amp;base=LAW&amp;n=495617&amp;dst=7032" TargetMode = "External"/><Relationship Id="rId17" Type="http://schemas.openxmlformats.org/officeDocument/2006/relationships/hyperlink" Target="https://login.consultant.ru/link/?req=doc&amp;base=LAW&amp;n=495617&amp;dst=7013" TargetMode = "External"/><Relationship Id="rId18" Type="http://schemas.openxmlformats.org/officeDocument/2006/relationships/hyperlink" Target="https://login.consultant.ru/link/?req=doc&amp;base=LAW&amp;n=495617" TargetMode = "External"/><Relationship Id="rId19" Type="http://schemas.openxmlformats.org/officeDocument/2006/relationships/hyperlink" Target="https://login.consultant.ru/link/?req=doc&amp;base=LAW&amp;n=508490" TargetMode = "External"/><Relationship Id="rId20" Type="http://schemas.openxmlformats.org/officeDocument/2006/relationships/hyperlink" Target="https://login.consultant.ru/link/?req=doc&amp;base=LAW&amp;n=508490&amp;dst=554" TargetMode = "External"/><Relationship Id="rId21" Type="http://schemas.openxmlformats.org/officeDocument/2006/relationships/hyperlink" Target="https://login.consultant.ru/link/?req=doc&amp;base=LAW&amp;n=524656&amp;dst=100009" TargetMode = "External"/><Relationship Id="rId22" Type="http://schemas.openxmlformats.org/officeDocument/2006/relationships/hyperlink" Target="https://login.consultant.ru/link/?req=doc&amp;base=LAW&amp;n=495617&amp;dst=64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Статья: Дебиторская задолженность попала под обеспечительные меры ФНС: что изменилось с 1 января 2026 г.
(Солнцева М.)
("ЭЖ-Бухгалтер", 2026, N 3)</dc:title>
  <dcterms:created xsi:type="dcterms:W3CDTF">2026-05-22T07:52:37Z</dcterms:created>
</cp:coreProperties>
</file>