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60" w:rsidRPr="00790F60" w:rsidRDefault="00E32C02" w:rsidP="00790F60">
      <w:pPr>
        <w:shd w:val="clear" w:color="auto" w:fill="FFFFFF"/>
        <w:spacing w:line="480" w:lineRule="atLeast"/>
        <w:jc w:val="center"/>
        <w:textAlignment w:val="top"/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</w:pPr>
      <w:r w:rsidRPr="00790F6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Практика коллегии по экономическим спорам ВС РФ:</w:t>
      </w:r>
    </w:p>
    <w:p w:rsidR="00E32C02" w:rsidRDefault="00E32C02" w:rsidP="00790F60">
      <w:pPr>
        <w:shd w:val="clear" w:color="auto" w:fill="FFFFFF"/>
        <w:spacing w:line="480" w:lineRule="atLeast"/>
        <w:jc w:val="center"/>
        <w:textAlignment w:val="top"/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</w:pPr>
      <w:r w:rsidRPr="00790F6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обзор за июнь</w:t>
      </w:r>
    </w:p>
    <w:p w:rsidR="00790F60" w:rsidRPr="00790F60" w:rsidRDefault="00790F60" w:rsidP="00790F60">
      <w:pPr>
        <w:shd w:val="clear" w:color="auto" w:fill="FFFFFF"/>
        <w:spacing w:line="480" w:lineRule="atLeast"/>
        <w:jc w:val="center"/>
        <w:textAlignment w:val="top"/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</w:pPr>
      <w:bookmarkStart w:id="0" w:name="_GoBack"/>
      <w:bookmarkEnd w:id="0"/>
    </w:p>
    <w:p w:rsidR="00E32C02" w:rsidRPr="00E32C02" w:rsidRDefault="00E32C02" w:rsidP="00790F60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E32C02">
        <w:rPr>
          <w:rFonts w:ascii="Arial" w:hAnsi="Arial" w:cs="Arial"/>
          <w:b/>
          <w:bCs/>
          <w:color w:val="000000"/>
          <w:sz w:val="20"/>
          <w:szCs w:val="20"/>
        </w:rPr>
        <w:t>Освобождение от выплаты страхового возмещения, ответственность за демонстрацию товаров с чужим товарным знаком, размер банковской комиссии за переводы физлицам — о позициях коллегии по этим и другим вопросам читайте в обзоре.</w:t>
      </w:r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8" w:anchor="anchor_1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Предмет договора страхования нельзя определить только через исключение разного рода событий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9" w:anchor="anchor_2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Страховщик не вправе отказать в выплате из-за неосторожности страхователя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0" w:anchor="anchor_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Повышенные проценты при просрочке возврата долга считаются мерой ответственности и могут быть снижены судом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1" w:anchor="anchor_4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Если договор займа содержит признаки совместной деятельности, суд должен выяснить его реальную правовую природу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2" w:anchor="anchor_5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Размещение на сайте изображения товара с чужим товарным знаком не всегда нарушает права правообладателя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3" w:anchor="anchor_6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Лизингодатель не вправе удерживать проценты за пользование финансированием, если сам выбрал недобросовестного продавца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4" w:anchor="anchor_7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Факт выполнения работ можно подтвердить актом приемки даже на стадии банкротства заказчика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5" w:anchor="anchor_8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Повышенную комиссию банка за перевод кредитору-физлицу при банкротстве могут признать необоснованной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6" w:anchor="anchor_9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При уменьшении цены некачественного товара сумма возврата включает НДС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7" w:anchor="anchor_10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После торгов нельзя изменить размер арендной платы за ограниченную в обороте землю под приватизированным зданием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8" w:anchor="anchor_11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Передача прав по договору аренды лесного участка требует согласия арендодателя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9" w:anchor="anchor_12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Нельзя использовать перевод объекта ИЖС в нежилое здание как упрощенный способ ввода в оборот коммерческой недвижимости</w:t>
        </w:r>
      </w:hyperlink>
    </w:p>
    <w:p w:rsidR="00E32C02" w:rsidRPr="00E32C02" w:rsidRDefault="00E32C02" w:rsidP="00E32C02">
      <w:pPr>
        <w:numPr>
          <w:ilvl w:val="0"/>
          <w:numId w:val="1"/>
        </w:numPr>
        <w:shd w:val="clear" w:color="auto" w:fill="FFFFFF"/>
        <w:spacing w:beforeAutospacing="1" w:afterAutospacing="1" w:line="480" w:lineRule="atLeast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20" w:anchor="anchor_1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Если договор аренды здания не предусматривает отдельной платы за пользование землей, арендатор не обязан платить за весь участок</w:t>
        </w:r>
      </w:hyperlink>
    </w:p>
    <w:p w:rsidR="00790F60" w:rsidRDefault="00790F60" w:rsidP="00E32C02">
      <w:pPr>
        <w:shd w:val="clear" w:color="auto" w:fill="FFFFFF"/>
        <w:spacing w:beforeAutospacing="1" w:afterAutospacing="1" w:line="480" w:lineRule="atLeast"/>
        <w:textAlignment w:val="baseline"/>
        <w:outlineLvl w:val="1"/>
        <w:rPr>
          <w:rFonts w:ascii="Arial" w:hAnsi="Arial" w:cs="Arial"/>
          <w:b/>
          <w:bCs/>
          <w:color w:val="0E0E0E"/>
          <w:sz w:val="20"/>
          <w:szCs w:val="20"/>
        </w:rPr>
      </w:pPr>
      <w:bookmarkStart w:id="1" w:name="anchor_1"/>
      <w:bookmarkEnd w:id="1"/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lastRenderedPageBreak/>
        <w:t>Предмет договора страхования нельзя определить только через исключение разного рода событий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Заказчик застраховал здание, произошел пожар.</w:t>
      </w:r>
    </w:p>
    <w:p w:rsidR="00E32C02" w:rsidRPr="00E32C02" w:rsidRDefault="00E32C02" w:rsidP="00790F60">
      <w:pPr>
        <w:widowControl w:val="0"/>
        <w:numPr>
          <w:ilvl w:val="0"/>
          <w:numId w:val="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Страховщик отказал в выплате. Он сослался на условие, исключающее выплату возмещения в случае, если пожар возник при ремонте.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Суды поддержали страховщика.</w:t>
      </w:r>
    </w:p>
    <w:p w:rsidR="00E32C02" w:rsidRPr="00E32C02" w:rsidRDefault="00E32C02" w:rsidP="00790F60">
      <w:pPr>
        <w:widowControl w:val="0"/>
        <w:numPr>
          <w:ilvl w:val="0"/>
          <w:numId w:val="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Они решили, что такое исключение прямо предусмотрено договором.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Предмет договора </w:t>
      </w:r>
      <w:hyperlink r:id="rId21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нельзя определить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лишь исключением разного рода событий.</w:t>
      </w:r>
    </w:p>
    <w:p w:rsidR="00E32C02" w:rsidRPr="00E32C02" w:rsidRDefault="00E32C02" w:rsidP="00790F60">
      <w:pPr>
        <w:widowControl w:val="0"/>
        <w:numPr>
          <w:ilvl w:val="0"/>
          <w:numId w:val="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Без перечня обстоятельств пожара, входящих в страховой случай, страхователь </w:t>
      </w:r>
      <w:hyperlink r:id="rId22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может оценить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объем страхового покрытия и реальность исполнения договора страховщиком.</w:t>
      </w:r>
    </w:p>
    <w:p w:rsidR="00E32C02" w:rsidRPr="00E32C02" w:rsidRDefault="00E32C02" w:rsidP="00790F60">
      <w:pPr>
        <w:widowControl w:val="0"/>
        <w:numPr>
          <w:ilvl w:val="0"/>
          <w:numId w:val="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Страховая фактически </w:t>
      </w:r>
      <w:hyperlink r:id="rId2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уменьшила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свои риски, исключив из страхового покрытия самые распространенные причины пожара. Это </w:t>
      </w:r>
      <w:hyperlink r:id="rId24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привело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к не предусмотренному законом освобождению от выплаты.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25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02.06.2025 N 305-ЭС25-842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2" w:name="anchor_2"/>
      <w:bookmarkEnd w:id="2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Страховщик не вправе отказать в выплате из-за неосторожности страхователя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При производстве работ автомобиль компании перевернулся и получил повреждения.</w:t>
      </w:r>
    </w:p>
    <w:p w:rsidR="00E32C02" w:rsidRPr="00E32C02" w:rsidRDefault="00E32C02" w:rsidP="00790F60">
      <w:pPr>
        <w:widowControl w:val="0"/>
        <w:numPr>
          <w:ilvl w:val="0"/>
          <w:numId w:val="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Страховая отказала в выплате. Причина — нарушение техники безопасности и инструкции, которое допустили водитель и компания.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Суды поддержали страховщика.</w:t>
      </w:r>
    </w:p>
    <w:p w:rsidR="00E32C02" w:rsidRPr="00E32C02" w:rsidRDefault="00E32C02" w:rsidP="00790F60">
      <w:pPr>
        <w:widowControl w:val="0"/>
        <w:numPr>
          <w:ilvl w:val="0"/>
          <w:numId w:val="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Случай не является страховым, т.к. он возник из-за действий самой компании.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Нарушение правил по неосторожности </w:t>
      </w:r>
      <w:hyperlink r:id="rId26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лишает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права на выплату.</w:t>
      </w:r>
    </w:p>
    <w:p w:rsidR="00E32C02" w:rsidRPr="00E32C02" w:rsidRDefault="00E32C02" w:rsidP="00790F60">
      <w:pPr>
        <w:widowControl w:val="0"/>
        <w:numPr>
          <w:ilvl w:val="0"/>
          <w:numId w:val="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Нельзя включать в договор такие условия. Они </w:t>
      </w:r>
      <w:hyperlink r:id="rId27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ничтожны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.</w:t>
      </w:r>
    </w:p>
    <w:p w:rsidR="00E32C02" w:rsidRPr="00E32C02" w:rsidRDefault="00E32C02" w:rsidP="00790F60">
      <w:pPr>
        <w:widowControl w:val="0"/>
        <w:numPr>
          <w:ilvl w:val="0"/>
          <w:numId w:val="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Умысел страхователя в наступлении спорного события не установлен.</w:t>
      </w:r>
    </w:p>
    <w:p w:rsidR="00E32C02" w:rsidRPr="00E32C02" w:rsidRDefault="00E32C02" w:rsidP="00790F60">
      <w:pPr>
        <w:widowControl w:val="0"/>
        <w:numPr>
          <w:ilvl w:val="0"/>
          <w:numId w:val="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Страховая компания фактически </w:t>
      </w:r>
      <w:hyperlink r:id="rId28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минимизировала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свой риск. Она поставила выплату возмещения в зависимость от любых действий страхователя, а не от факта наступления страхового случая.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29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06.06.2025 N 307-ЭС24-24190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3" w:name="anchor_3"/>
      <w:bookmarkEnd w:id="3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Повышенные проценты при просрочке возврата долга считаются мерой ответственности и могут быть снижены судом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Кредитор взыскал долг по нескольким договорам займа.</w:t>
      </w:r>
    </w:p>
    <w:p w:rsidR="00E32C02" w:rsidRPr="00E32C02" w:rsidRDefault="00E32C02" w:rsidP="00790F60">
      <w:pPr>
        <w:widowControl w:val="0"/>
        <w:numPr>
          <w:ilvl w:val="0"/>
          <w:numId w:val="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В них было условие: при просрочке возврата долга проценты увеличиваются.</w:t>
      </w:r>
    </w:p>
    <w:p w:rsidR="00E32C02" w:rsidRPr="00E32C02" w:rsidRDefault="00E32C02" w:rsidP="00790F60">
      <w:pPr>
        <w:widowControl w:val="0"/>
        <w:numPr>
          <w:ilvl w:val="0"/>
          <w:numId w:val="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Кредитор потребовал также проценты по </w:t>
      </w:r>
      <w:hyperlink r:id="rId30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ст. 395 ГК РФ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 суды поддержали иск.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31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Повышенные проценты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— это мера гражданско-правовой ответственности. Их </w:t>
      </w:r>
      <w:hyperlink r:id="rId32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можно снизить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по </w:t>
      </w:r>
      <w:hyperlink r:id="rId3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ст. 333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ГК РФ.</w:t>
      </w:r>
    </w:p>
    <w:p w:rsidR="00E32C02" w:rsidRPr="00E32C02" w:rsidRDefault="00E32C02" w:rsidP="00790F60">
      <w:pPr>
        <w:widowControl w:val="0"/>
        <w:numPr>
          <w:ilvl w:val="0"/>
          <w:numId w:val="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34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Нельзя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одновременно начислять повышенные проценты и проценты по </w:t>
      </w:r>
      <w:hyperlink r:id="rId35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ст. 395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ГК РФ.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36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02.06.2025 N 304-ЭС24-24421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4" w:name="anchor_4"/>
      <w:bookmarkEnd w:id="4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lastRenderedPageBreak/>
        <w:t>Если договор займа содержит признаки совместной деятельности, суд должен выяснить его реальную правовую природу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Предприниматель передал компании деньги по договору инвестиционного займа.</w:t>
      </w:r>
    </w:p>
    <w:p w:rsidR="00E32C02" w:rsidRPr="00E32C02" w:rsidRDefault="00E32C02" w:rsidP="00790F60">
      <w:pPr>
        <w:widowControl w:val="0"/>
        <w:numPr>
          <w:ilvl w:val="0"/>
          <w:numId w:val="1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Договор предусматривал, что компания платит проценты из прибыли, но не менее определенной суммы в месяц.</w:t>
      </w:r>
    </w:p>
    <w:p w:rsidR="00E32C02" w:rsidRPr="00E32C02" w:rsidRDefault="00E32C02" w:rsidP="00790F60">
      <w:pPr>
        <w:widowControl w:val="0"/>
        <w:numPr>
          <w:ilvl w:val="0"/>
          <w:numId w:val="1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Были предусмотрены также отчеты о расходовании денег и штраф за просрочку отчетности.</w:t>
      </w:r>
    </w:p>
    <w:p w:rsidR="00E32C02" w:rsidRPr="00E32C02" w:rsidRDefault="00E32C02" w:rsidP="00790F60">
      <w:pPr>
        <w:widowControl w:val="0"/>
        <w:numPr>
          <w:ilvl w:val="0"/>
          <w:numId w:val="1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Предприниматель потребовал взыскать задолженность по договору.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Все суды взыскали проценты, неустойки и штрафы.</w:t>
      </w:r>
    </w:p>
    <w:p w:rsidR="00E32C02" w:rsidRPr="00E32C02" w:rsidRDefault="00E32C02" w:rsidP="00790F60">
      <w:pPr>
        <w:widowControl w:val="0"/>
        <w:numPr>
          <w:ilvl w:val="0"/>
          <w:numId w:val="1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Договор признали обычным займом.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Истец не просто передал деньги, но и </w:t>
      </w:r>
      <w:hyperlink r:id="rId37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разделил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риски неполучения прибыли.</w:t>
      </w:r>
    </w:p>
    <w:p w:rsidR="00E32C02" w:rsidRPr="00E32C02" w:rsidRDefault="00E32C02" w:rsidP="00790F60">
      <w:pPr>
        <w:widowControl w:val="0"/>
        <w:numPr>
          <w:ilvl w:val="0"/>
          <w:numId w:val="1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Если в договоре есть признаки совместной деятельности (участие в прибыли, контроль за расходами, фактически бессрочный характер действия), он </w:t>
      </w:r>
      <w:hyperlink r:id="rId38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может быть квалифицирован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как смешанный.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39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02.06.2025 N 305-ЭС24-24318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5" w:name="anchor_5"/>
      <w:bookmarkEnd w:id="5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Размещение на сайте изображения товара с чужим товарным знаком не всегда нарушает права правообладателя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Компания разместила на сайте фотографии техники с товарным знаком.</w:t>
      </w:r>
    </w:p>
    <w:p w:rsidR="00E32C02" w:rsidRPr="00E32C02" w:rsidRDefault="00E32C02" w:rsidP="00790F60">
      <w:pPr>
        <w:widowControl w:val="0"/>
        <w:numPr>
          <w:ilvl w:val="0"/>
          <w:numId w:val="1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Правообладатель потребовал запретить его использование и взыскать компенсацию.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Суды поддержали правообладателя.</w:t>
      </w:r>
    </w:p>
    <w:p w:rsidR="00E32C02" w:rsidRPr="00E32C02" w:rsidRDefault="00E32C02" w:rsidP="00790F60">
      <w:pPr>
        <w:widowControl w:val="0"/>
        <w:numPr>
          <w:ilvl w:val="0"/>
          <w:numId w:val="1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Компания не доказала легальность происхождения товара.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Если товар еще не закуплен, но есть договор с официальным дилером, размещение предложения о продаже оригинального товара </w:t>
      </w:r>
      <w:hyperlink r:id="rId40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является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нарушением. Исключение – ситуация, когда к продаже предлагается контрафакт.</w:t>
      </w:r>
    </w:p>
    <w:p w:rsidR="00E32C02" w:rsidRPr="00E32C02" w:rsidRDefault="00E32C02" w:rsidP="00790F60">
      <w:pPr>
        <w:widowControl w:val="0"/>
        <w:numPr>
          <w:ilvl w:val="0"/>
          <w:numId w:val="1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Последнее должен доказать правообладатель.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41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03.06.2025 N 309-ЭС25-764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6" w:name="anchor_6"/>
      <w:bookmarkEnd w:id="6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Лизингодатель не вправе удерживать проценты за пользование финансированием, если сам выбрал недобросовестного продавца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Организация внесла предоплату и два платежа по договору лизинга экскаватора.</w:t>
      </w:r>
    </w:p>
    <w:p w:rsidR="00E32C02" w:rsidRPr="00E32C02" w:rsidRDefault="00E32C02" w:rsidP="00790F60">
      <w:pPr>
        <w:widowControl w:val="0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Продавец не поставил экскаватор, деньги вернул лизингодателю.</w:t>
      </w:r>
    </w:p>
    <w:p w:rsidR="00E32C02" w:rsidRPr="00E32C02" w:rsidRDefault="00E32C02" w:rsidP="00790F60">
      <w:pPr>
        <w:widowControl w:val="0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Возник спор о размере средств, которые лизингодатель обязан вернуть лизингополучателю.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нижестоящих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 суды взыскали суммы, уплаченные лизингополучателем, за вычетом процентов за пользование финансированием.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Продавца </w:t>
      </w:r>
      <w:hyperlink r:id="rId42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выбрал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лизингодатель: коммерческое предложение размещено на его сайте, переговоры вел его менеджер, проекты договоров лизингодатель сам направлял лизингополучателю.</w:t>
      </w:r>
    </w:p>
    <w:p w:rsidR="00E32C02" w:rsidRPr="00E32C02" w:rsidRDefault="00E32C02" w:rsidP="00790F60">
      <w:pPr>
        <w:widowControl w:val="0"/>
        <w:numPr>
          <w:ilvl w:val="0"/>
          <w:numId w:val="1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Лизингополучатель лишь </w:t>
      </w:r>
      <w:hyperlink r:id="rId4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согласился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с условиями, предложенными лизингодателем. Это не является выбором продавца.</w:t>
      </w:r>
    </w:p>
    <w:p w:rsidR="00E32C02" w:rsidRPr="00E32C02" w:rsidRDefault="00E32C02" w:rsidP="00790F60">
      <w:pPr>
        <w:widowControl w:val="0"/>
        <w:numPr>
          <w:ilvl w:val="0"/>
          <w:numId w:val="1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lastRenderedPageBreak/>
        <w:t>Удержание процентов неправомерно: лизингодатель, выбравший продавца, </w:t>
      </w:r>
      <w:hyperlink r:id="rId44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несет риск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неисполнения им обязательств.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45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16.06.2025 N 307-ЭС22-5301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7" w:name="anchor_7"/>
      <w:bookmarkEnd w:id="7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Факт выполнения работ можно подтвердить актом приемки даже на стадии банкротства заказчика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Подрядчик выполнил строительные работы.</w:t>
      </w:r>
    </w:p>
    <w:p w:rsidR="00E32C02" w:rsidRPr="00E32C02" w:rsidRDefault="00E32C02" w:rsidP="00790F60">
      <w:pPr>
        <w:widowControl w:val="0"/>
        <w:numPr>
          <w:ilvl w:val="0"/>
          <w:numId w:val="1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Заказчик подписал акты приемки без замечаний, но работы не оплатил.</w:t>
      </w:r>
    </w:p>
    <w:p w:rsidR="00E32C02" w:rsidRPr="00E32C02" w:rsidRDefault="00E32C02" w:rsidP="00790F60">
      <w:pPr>
        <w:widowControl w:val="0"/>
        <w:numPr>
          <w:ilvl w:val="0"/>
          <w:numId w:val="1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Заказчик обанкротился, управляющий заявил о мнимости договоров и работ.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Первая инстанция взыскала долг.</w:t>
      </w:r>
    </w:p>
    <w:p w:rsidR="00E32C02" w:rsidRPr="00E32C02" w:rsidRDefault="00E32C02" w:rsidP="00790F60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Апелляция и кассация отказали во взыскании.</w:t>
      </w:r>
    </w:p>
    <w:p w:rsidR="00E32C02" w:rsidRPr="00E32C02" w:rsidRDefault="00E32C02" w:rsidP="00790F60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Актов приемки выполненных работ недостаточно, чтобы доказать их реальность.</w:t>
      </w:r>
    </w:p>
    <w:p w:rsidR="00E32C02" w:rsidRPr="00E32C02" w:rsidRDefault="00E32C02" w:rsidP="00790F60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Подрядчик должен представить дополнительные документы, в том числе исполнительную документацию.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 </w:t>
      </w:r>
      <w:hyperlink r:id="rId46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мог потребовать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представить новые доказательства без опровержения имеющихся.</w:t>
      </w:r>
    </w:p>
    <w:p w:rsidR="00E32C02" w:rsidRPr="00E32C02" w:rsidRDefault="00E32C02" w:rsidP="00790F60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Нельзя применять повышенные стандарты доказывания, если нет </w:t>
      </w:r>
      <w:proofErr w:type="spellStart"/>
      <w:r w:rsidRPr="00E32C02">
        <w:rPr>
          <w:rFonts w:ascii="Arial" w:hAnsi="Arial" w:cs="Arial"/>
          <w:color w:val="0E0E0E"/>
          <w:sz w:val="20"/>
          <w:szCs w:val="20"/>
        </w:rPr>
        <w:fldChar w:fldCharType="begin"/>
      </w:r>
      <w:r w:rsidRPr="00E32C02">
        <w:rPr>
          <w:rFonts w:ascii="Arial" w:hAnsi="Arial" w:cs="Arial"/>
          <w:color w:val="0E0E0E"/>
          <w:sz w:val="20"/>
          <w:szCs w:val="20"/>
        </w:rPr>
        <w:instrText xml:space="preserve"> HYPERLINK "consultantplus://offline/main?base=ARB;n=856877;dst=100056" </w:instrText>
      </w:r>
      <w:r w:rsidRPr="00E32C02">
        <w:rPr>
          <w:rFonts w:ascii="Arial" w:hAnsi="Arial" w:cs="Arial"/>
          <w:color w:val="0E0E0E"/>
          <w:sz w:val="20"/>
          <w:szCs w:val="20"/>
        </w:rPr>
        <w:fldChar w:fldCharType="separate"/>
      </w:r>
      <w:r w:rsidRPr="00E32C02">
        <w:rPr>
          <w:rFonts w:ascii="Arial" w:hAnsi="Arial" w:cs="Arial"/>
          <w:color w:val="413A61"/>
          <w:sz w:val="20"/>
          <w:szCs w:val="20"/>
          <w:u w:val="single"/>
          <w:bdr w:val="none" w:sz="0" w:space="0" w:color="auto" w:frame="1"/>
        </w:rPr>
        <w:t>аффилированности</w:t>
      </w:r>
      <w:proofErr w:type="spellEnd"/>
      <w:r w:rsidRPr="00E32C02">
        <w:rPr>
          <w:rFonts w:ascii="Arial" w:hAnsi="Arial" w:cs="Arial"/>
          <w:color w:val="0E0E0E"/>
          <w:sz w:val="20"/>
          <w:szCs w:val="20"/>
        </w:rPr>
        <w:fldChar w:fldCharType="end"/>
      </w:r>
      <w:r w:rsidRPr="00E32C02">
        <w:rPr>
          <w:rFonts w:ascii="Arial" w:hAnsi="Arial" w:cs="Arial"/>
          <w:color w:val="0E0E0E"/>
          <w:sz w:val="20"/>
          <w:szCs w:val="20"/>
        </w:rPr>
        <w:t> сторон сделки или </w:t>
      </w:r>
      <w:hyperlink r:id="rId47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недобросовестности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истца.</w:t>
      </w:r>
    </w:p>
    <w:p w:rsidR="00E32C02" w:rsidRPr="00E32C02" w:rsidRDefault="00E32C02" w:rsidP="00790F60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Непредставление исполнительной документации </w:t>
      </w:r>
      <w:hyperlink r:id="rId48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основание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для отказа в оплате.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49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03.06.2025 N 305-ЭС24-23946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8" w:name="anchor_8"/>
      <w:bookmarkEnd w:id="8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Повышенную комиссию банка за перевод кредитору-физлицу при банкротстве могут признать необоснованной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При расчетах с кредитором-физлицом в деле о банкротстве банк удержал с компании-должника большую комиссию.</w:t>
      </w:r>
    </w:p>
    <w:p w:rsidR="00E32C02" w:rsidRPr="00E32C02" w:rsidRDefault="00E32C02" w:rsidP="00790F60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Компания посчитала комиссию заградительной.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 в иске следует отказать, банк применил тариф, установленный договором.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Размер комиссии </w:t>
      </w:r>
      <w:hyperlink r:id="rId50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должен быть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экономически обоснован.</w:t>
      </w:r>
    </w:p>
    <w:p w:rsidR="00E32C02" w:rsidRPr="00E32C02" w:rsidRDefault="00E32C02" w:rsidP="00790F60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Само по себе </w:t>
      </w:r>
      <w:hyperlink r:id="rId51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присоединение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к договору или наличие </w:t>
      </w:r>
      <w:hyperlink r:id="rId52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альтернативы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не оправдывает несправедливые тарифы.</w:t>
      </w:r>
    </w:p>
    <w:p w:rsidR="00E32C02" w:rsidRPr="00E32C02" w:rsidRDefault="00E32C02" w:rsidP="00790F60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Суды </w:t>
      </w:r>
      <w:hyperlink r:id="rId5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проверили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 xml:space="preserve">, есть ли у банка </w:t>
      </w:r>
      <w:proofErr w:type="spellStart"/>
      <w:r w:rsidRPr="00E32C02">
        <w:rPr>
          <w:rFonts w:ascii="Arial" w:hAnsi="Arial" w:cs="Arial"/>
          <w:color w:val="0E0E0E"/>
          <w:sz w:val="20"/>
          <w:szCs w:val="20"/>
        </w:rPr>
        <w:t>допрасходы</w:t>
      </w:r>
      <w:proofErr w:type="spellEnd"/>
      <w:r w:rsidRPr="00E32C02">
        <w:rPr>
          <w:rFonts w:ascii="Arial" w:hAnsi="Arial" w:cs="Arial"/>
          <w:color w:val="0E0E0E"/>
          <w:sz w:val="20"/>
          <w:szCs w:val="20"/>
        </w:rPr>
        <w:t xml:space="preserve"> по сравнению с переводами юрлицам.</w:t>
      </w:r>
    </w:p>
    <w:p w:rsidR="00E32C02" w:rsidRPr="00E32C02" w:rsidRDefault="00E32C02" w:rsidP="00790F60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Заградительные тарифы </w:t>
      </w:r>
      <w:hyperlink r:id="rId54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причиняют ущерб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конкурсной массе и влияют на права кредиторов.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55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05.06.2025 N 305-ЭС24-24245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9" w:name="anchor_9"/>
      <w:bookmarkEnd w:id="9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При уменьшении цены некачественного товара сумма возврата включает НДС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Компания поставляла уголь ненадлежащего качества.</w:t>
      </w:r>
    </w:p>
    <w:p w:rsidR="00E32C02" w:rsidRPr="00E32C02" w:rsidRDefault="00E32C02" w:rsidP="00790F60">
      <w:pPr>
        <w:widowControl w:val="0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Покупатель потребовал снизить цену.</w:t>
      </w:r>
    </w:p>
    <w:p w:rsidR="00E32C02" w:rsidRPr="00E32C02" w:rsidRDefault="00E32C02" w:rsidP="00790F60">
      <w:pPr>
        <w:widowControl w:val="0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Поставщик вернул только часть суммы, посчитав, что не обязан возвращать НДС.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 суды согласились с продавцом.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lastRenderedPageBreak/>
        <w:t>Уменьшение стоимости </w:t>
      </w:r>
      <w:hyperlink r:id="rId56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изменяет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налоговую базу по НДС у поставщика и суммы вычетов по НДС у покупателя.</w:t>
      </w:r>
    </w:p>
    <w:p w:rsidR="00E32C02" w:rsidRPr="00E32C02" w:rsidRDefault="00E32C02" w:rsidP="00790F60">
      <w:pPr>
        <w:widowControl w:val="0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НДС </w:t>
      </w:r>
      <w:hyperlink r:id="rId57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может быть исключен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из суммы, подлежащей возврату, так как налог не имеет значения при решении вопроса об изменении цены договора.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58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05.06.2025 N 305-ЭС25-115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10" w:name="anchor_10"/>
      <w:bookmarkEnd w:id="10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После торгов нельзя изменить размер арендной платы за ограниченную в обороте землю под</w:t>
      </w:r>
      <w:r w:rsidRPr="00E32C02">
        <w:rPr>
          <w:rFonts w:ascii="Arial" w:hAnsi="Arial" w:cs="Arial"/>
          <w:b/>
          <w:bCs/>
          <w:color w:val="0E0E0E"/>
          <w:sz w:val="20"/>
          <w:szCs w:val="20"/>
        </w:rPr>
        <w:t xml:space="preserve"> </w:t>
      </w:r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приватизированным зданием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Компания купила на аукционе публичное имущество (здание) и получила в аренду землю под ним.</w:t>
      </w:r>
    </w:p>
    <w:p w:rsidR="00E32C02" w:rsidRPr="00E32C02" w:rsidRDefault="00E32C02" w:rsidP="00790F60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Размер платы за землю был зафиксирован в договоре на 3 года.</w:t>
      </w:r>
    </w:p>
    <w:p w:rsidR="00E32C02" w:rsidRPr="00E32C02" w:rsidRDefault="00E32C02" w:rsidP="00790F60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Покупатель потребовал снизить арендную плату. Он посчитал, что плата </w:t>
      </w:r>
      <w:hyperlink r:id="rId59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должна превышать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размер земельного налога.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Суды поддержали покупателя. Они уменьшили арендную плату, так как участок ограничен в обороте.</w:t>
      </w:r>
    </w:p>
    <w:p w:rsidR="00E32C02" w:rsidRPr="00E32C02" w:rsidRDefault="00E32C02" w:rsidP="00790F60">
      <w:pPr>
        <w:widowControl w:val="0"/>
        <w:numPr>
          <w:ilvl w:val="0"/>
          <w:numId w:val="2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Арендная плата за землю не предмет торгов. Договор аренды могли заключить без публичных процедур.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Условия аукциона </w:t>
      </w:r>
      <w:hyperlink r:id="rId60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были известны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заранее. Они отражены в документации. </w:t>
      </w:r>
      <w:hyperlink r:id="rId61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Размер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платы за землю — часть условий торгов.</w:t>
      </w:r>
    </w:p>
    <w:p w:rsidR="00E32C02" w:rsidRPr="00E32C02" w:rsidRDefault="00E32C02" w:rsidP="00790F60">
      <w:pPr>
        <w:widowControl w:val="0"/>
        <w:numPr>
          <w:ilvl w:val="0"/>
          <w:numId w:val="2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Победитель </w:t>
      </w:r>
      <w:hyperlink r:id="rId62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может требовать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снижения платы после подписания договора.</w:t>
      </w:r>
    </w:p>
    <w:p w:rsidR="00E32C02" w:rsidRPr="00E32C02" w:rsidRDefault="00E32C02" w:rsidP="00790F60">
      <w:pPr>
        <w:widowControl w:val="0"/>
        <w:numPr>
          <w:ilvl w:val="0"/>
          <w:numId w:val="2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Компания до торгов </w:t>
      </w:r>
      <w:hyperlink r:id="rId6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могла оспорить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аукционную документацию, после – в целом торги и договор.</w:t>
      </w:r>
    </w:p>
    <w:p w:rsidR="00E32C02" w:rsidRPr="00E32C02" w:rsidRDefault="00E32C02" w:rsidP="00790F60">
      <w:pPr>
        <w:widowControl w:val="0"/>
        <w:numPr>
          <w:ilvl w:val="0"/>
          <w:numId w:val="2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Уменьшение платы </w:t>
      </w:r>
      <w:hyperlink r:id="rId64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нарушает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права других участников торгов.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Документы: Определения ВС РФ от </w:t>
      </w:r>
      <w:hyperlink r:id="rId65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05.06.2025 N 305-ЭС25-1291</w:t>
        </w:r>
      </w:hyperlink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, от </w:t>
      </w:r>
      <w:hyperlink r:id="rId66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04.06.2025 N 305-ЭС23-20462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11" w:name="anchor_11"/>
      <w:bookmarkEnd w:id="11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Передача прав по договору аренды лесного участка требует согласия арендодателя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Арендатор передал компании права и обязанности по договору аренды лесного участка без согласия арендодателя.</w:t>
      </w:r>
    </w:p>
    <w:p w:rsidR="00E32C02" w:rsidRPr="00E32C02" w:rsidRDefault="00E32C02" w:rsidP="00790F60">
      <w:pPr>
        <w:widowControl w:val="0"/>
        <w:numPr>
          <w:ilvl w:val="0"/>
          <w:numId w:val="2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Арендодатель потребовал признать договор уступки недействительным и вернуть участок.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2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Суды отказали в иске.</w:t>
      </w:r>
    </w:p>
    <w:p w:rsidR="00E32C02" w:rsidRPr="00E32C02" w:rsidRDefault="00E32C02" w:rsidP="00790F60">
      <w:pPr>
        <w:widowControl w:val="0"/>
        <w:numPr>
          <w:ilvl w:val="0"/>
          <w:numId w:val="2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Согласие арендодателя не требуется.</w:t>
      </w:r>
    </w:p>
    <w:p w:rsidR="00E32C02" w:rsidRPr="00E32C02" w:rsidRDefault="00E32C02" w:rsidP="00790F60">
      <w:pPr>
        <w:widowControl w:val="0"/>
        <w:numPr>
          <w:ilvl w:val="0"/>
          <w:numId w:val="2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По </w:t>
      </w:r>
      <w:hyperlink r:id="rId67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ЗК РФ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при заключении договора на срок более 5 лет арендодателя нужно лишь уведомить об уступке.</w:t>
      </w:r>
    </w:p>
    <w:p w:rsidR="00E32C02" w:rsidRPr="00E32C02" w:rsidRDefault="00E32C02" w:rsidP="00790F60">
      <w:pPr>
        <w:widowControl w:val="0"/>
        <w:numPr>
          <w:ilvl w:val="0"/>
          <w:numId w:val="2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Кассация добавила: </w:t>
      </w:r>
      <w:hyperlink r:id="rId68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запрет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на уступку действует, только если участок не состоит на кадастровом учете.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3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Нормы лесного законодательства </w:t>
      </w:r>
      <w:hyperlink r:id="rId69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имеют приоритет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над земельным и гражданским.</w:t>
      </w:r>
    </w:p>
    <w:p w:rsidR="00E32C02" w:rsidRPr="00E32C02" w:rsidRDefault="00E32C02" w:rsidP="00790F60">
      <w:pPr>
        <w:widowControl w:val="0"/>
        <w:numPr>
          <w:ilvl w:val="0"/>
          <w:numId w:val="3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Обязанность согласовать с уступку с арендодателем </w:t>
      </w:r>
      <w:hyperlink r:id="rId70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закреплена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в типовом договоре.</w:t>
      </w:r>
    </w:p>
    <w:p w:rsidR="00E32C02" w:rsidRPr="00E32C02" w:rsidRDefault="00E32C02" w:rsidP="00790F60">
      <w:pPr>
        <w:widowControl w:val="0"/>
        <w:numPr>
          <w:ilvl w:val="0"/>
          <w:numId w:val="3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На эту обязанность </w:t>
      </w:r>
      <w:hyperlink r:id="rId71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влияет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факт постановки участка на кадастровый учет.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72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03.06.2025 N 304-ЭС24-3145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12" w:name="anchor_12"/>
      <w:bookmarkEnd w:id="12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Нельзя использовать перевод объекта ИЖС в нежилое здание как упрощенный способ ввода в оборот коммерческой недвижимости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3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Предприниматель купил 2 четырехэтажных жилых дома.</w:t>
      </w:r>
    </w:p>
    <w:p w:rsidR="00E32C02" w:rsidRPr="00E32C02" w:rsidRDefault="00E32C02" w:rsidP="00790F60">
      <w:pPr>
        <w:widowControl w:val="0"/>
        <w:numPr>
          <w:ilvl w:val="0"/>
          <w:numId w:val="3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lastRenderedPageBreak/>
        <w:t>Он подал заявления о переводе этих домов в нежилые, не указывая предполагаемую цель использования и заявляя, что перепланировка или реконструкция не требуется.</w:t>
      </w:r>
    </w:p>
    <w:p w:rsidR="00E32C02" w:rsidRPr="00E32C02" w:rsidRDefault="00E32C02" w:rsidP="00790F60">
      <w:pPr>
        <w:widowControl w:val="0"/>
        <w:numPr>
          <w:ilvl w:val="0"/>
          <w:numId w:val="3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Администрация отказала в согласовании перевода по двум основаниям: нет подтверждения, что дома не используются для проживания; нет экспертизы проектной документации.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3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Признали незаконным только второе основание для отказа — необходимость экспертизы.</w:t>
      </w:r>
    </w:p>
    <w:p w:rsidR="00E32C02" w:rsidRPr="00E32C02" w:rsidRDefault="00E32C02" w:rsidP="00790F60">
      <w:pPr>
        <w:widowControl w:val="0"/>
        <w:numPr>
          <w:ilvl w:val="0"/>
          <w:numId w:val="3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Обязали администрацию повторно рассмотреть заявления предпринимателя.</w:t>
      </w:r>
    </w:p>
    <w:p w:rsidR="00E32C02" w:rsidRPr="00E32C02" w:rsidRDefault="00E32C02" w:rsidP="00790F60">
      <w:pPr>
        <w:widowControl w:val="0"/>
        <w:numPr>
          <w:ilvl w:val="0"/>
          <w:numId w:val="3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Суды сочли, что реконструкция не требуется, а акт эксперта торгово-промышленной палаты подтверждает пригодность объектов к использованию как нежилых.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3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Если бы изначально здания строились как нежилые, </w:t>
      </w:r>
      <w:hyperlink r:id="rId73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требовались бы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разрешение на строительство и экспертиза проектной документации.</w:t>
      </w:r>
    </w:p>
    <w:p w:rsidR="00E32C02" w:rsidRPr="00E32C02" w:rsidRDefault="00E32C02" w:rsidP="00790F60">
      <w:pPr>
        <w:widowControl w:val="0"/>
        <w:numPr>
          <w:ilvl w:val="0"/>
          <w:numId w:val="3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Перевод объекта ИЖС в нежилое здание </w:t>
      </w:r>
      <w:hyperlink r:id="rId74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нельзя использовать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для обхода требований к коммерческой недвижимости.</w:t>
      </w:r>
    </w:p>
    <w:p w:rsidR="00E32C02" w:rsidRPr="00E32C02" w:rsidRDefault="00E32C02" w:rsidP="00790F60">
      <w:pPr>
        <w:widowControl w:val="0"/>
        <w:numPr>
          <w:ilvl w:val="0"/>
          <w:numId w:val="3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Отсутствие цели использования </w:t>
      </w:r>
      <w:hyperlink r:id="rId75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позволило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уполномоченному органу установить, какие требования (санитарные, пожарные, градостроительные) нужно учесть при оценке необходимости проведения реконструкции или перепланировки.</w:t>
      </w:r>
    </w:p>
    <w:p w:rsidR="00E32C02" w:rsidRPr="00E32C02" w:rsidRDefault="00E32C02" w:rsidP="00790F60">
      <w:pPr>
        <w:widowControl w:val="0"/>
        <w:numPr>
          <w:ilvl w:val="0"/>
          <w:numId w:val="3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То, что предприниматель уведомил об отсутствии необходимости реконструкции и перепланировки, </w:t>
      </w:r>
      <w:hyperlink r:id="rId76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указывает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на строительство нежилых зданий под видом жилых.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77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19.06.2025 N 306-ЭС25-218</w:t>
        </w:r>
      </w:hyperlink>
    </w:p>
    <w:p w:rsidR="00E32C02" w:rsidRPr="00E32C02" w:rsidRDefault="00E32C02" w:rsidP="00790F60">
      <w:pPr>
        <w:widowControl w:val="0"/>
        <w:shd w:val="clear" w:color="auto" w:fill="FFFFFF"/>
        <w:spacing w:before="240" w:after="240"/>
        <w:textAlignment w:val="baseline"/>
        <w:outlineLvl w:val="1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  <w:bookmarkStart w:id="13" w:name="anchor_13"/>
      <w:bookmarkEnd w:id="13"/>
      <w:r w:rsidRPr="00E32C02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Если договор аренды здания не предусматривает отдельной платы за пользование землей, арендатор не обязан платить за весь участок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Ситуация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Администрация обратилась к предпринимателю с иском о взыскании платы за пользование землей под зданием исходя из всей площади участка.</w:t>
      </w:r>
    </w:p>
    <w:p w:rsidR="00E32C02" w:rsidRPr="00E32C02" w:rsidRDefault="00E32C02" w:rsidP="00790F60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Предприниматель арендовал только здание, отдельного договора аренды земли не заключал.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сказали суды трех инстанций</w:t>
      </w:r>
      <w:r w:rsidRPr="00E32C02">
        <w:rPr>
          <w:rFonts w:ascii="Arial" w:hAnsi="Arial" w:cs="Arial"/>
          <w:color w:val="0E0E0E"/>
          <w:sz w:val="20"/>
          <w:szCs w:val="20"/>
        </w:rPr>
        <w:t>: суды удовлетворили иск администрации.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  <w:t>Что сказал Верховный суд</w:t>
      </w:r>
      <w:r w:rsidRPr="00E32C02">
        <w:rPr>
          <w:rFonts w:ascii="Arial" w:hAnsi="Arial" w:cs="Arial"/>
          <w:color w:val="0E0E0E"/>
          <w:sz w:val="20"/>
          <w:szCs w:val="20"/>
        </w:rPr>
        <w:t>:</w:t>
      </w:r>
    </w:p>
    <w:p w:rsidR="00E32C02" w:rsidRPr="00E32C02" w:rsidRDefault="00E32C02" w:rsidP="00790F60">
      <w:pPr>
        <w:widowControl w:val="0"/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Если арендовано здание, право пользования участком под ним возникает у арендатора автоматически. Плата за землю </w:t>
      </w:r>
      <w:hyperlink r:id="rId78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считается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включенной в арендную плату по умолчанию .</w:t>
      </w:r>
    </w:p>
    <w:p w:rsidR="00E32C02" w:rsidRPr="00E32C02" w:rsidRDefault="00E32C02" w:rsidP="00790F60">
      <w:pPr>
        <w:widowControl w:val="0"/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Администрация </w:t>
      </w:r>
      <w:hyperlink r:id="rId79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доказала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, что предприниматель использовал весь участок, а не только землю, занятую зданием.</w:t>
      </w:r>
    </w:p>
    <w:p w:rsidR="00E32C02" w:rsidRPr="00E32C02" w:rsidRDefault="00E32C02" w:rsidP="00790F60">
      <w:pPr>
        <w:widowControl w:val="0"/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color w:val="0E0E0E"/>
          <w:sz w:val="20"/>
          <w:szCs w:val="20"/>
        </w:rPr>
        <w:t>Вид разрешенного использования "для обслуживания здания" сам по себе </w:t>
      </w:r>
      <w:hyperlink r:id="rId80" w:history="1">
        <w:r w:rsidRPr="00E32C02">
          <w:rPr>
            <w:rFonts w:ascii="Arial" w:hAnsi="Arial" w:cs="Arial"/>
            <w:color w:val="413A61"/>
            <w:sz w:val="20"/>
            <w:szCs w:val="20"/>
            <w:u w:val="single"/>
            <w:bdr w:val="none" w:sz="0" w:space="0" w:color="auto" w:frame="1"/>
          </w:rPr>
          <w:t>не подтверждает</w:t>
        </w:r>
      </w:hyperlink>
      <w:r w:rsidRPr="00E32C02">
        <w:rPr>
          <w:rFonts w:ascii="Arial" w:hAnsi="Arial" w:cs="Arial"/>
          <w:color w:val="0E0E0E"/>
          <w:sz w:val="20"/>
          <w:szCs w:val="20"/>
        </w:rPr>
        <w:t> необходимость использования всего участка.</w:t>
      </w:r>
    </w:p>
    <w:p w:rsidR="00E32C02" w:rsidRPr="00E32C02" w:rsidRDefault="00E32C02" w:rsidP="00790F60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E32C02">
        <w:rPr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Документ: </w:t>
      </w:r>
      <w:hyperlink r:id="rId81" w:history="1">
        <w:r w:rsidRPr="00E32C02">
          <w:rPr>
            <w:rFonts w:ascii="Arial" w:hAnsi="Arial" w:cs="Arial"/>
            <w:i/>
            <w:iCs/>
            <w:color w:val="413A61"/>
            <w:sz w:val="20"/>
            <w:szCs w:val="20"/>
            <w:u w:val="single"/>
            <w:bdr w:val="none" w:sz="0" w:space="0" w:color="auto" w:frame="1"/>
          </w:rPr>
          <w:t>Определение ВС РФ от 24.06.2025 N 307-ЭС25-1444</w:t>
        </w:r>
      </w:hyperlink>
    </w:p>
    <w:p w:rsidR="00D43F17" w:rsidRPr="00E32C02" w:rsidRDefault="00D43F17" w:rsidP="00790F60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</w:p>
    <w:sectPr w:rsidR="00D43F17" w:rsidRPr="00E32C02" w:rsidSect="00790F60">
      <w:headerReference w:type="default" r:id="rId82"/>
      <w:footerReference w:type="default" r:id="rId83"/>
      <w:headerReference w:type="first" r:id="rId84"/>
      <w:footerReference w:type="first" r:id="rId85"/>
      <w:pgSz w:w="11906" w:h="16838"/>
      <w:pgMar w:top="709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790F60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E32C02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1" type="#_x0000_t75" style="width:126.75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790F60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E32C02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3" type="#_x0000_t75" style="width:126.75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790F60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2" type="#_x0000_t75" style="width:189.05pt;height:37.1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790F60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790F60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0747"/>
    <w:multiLevelType w:val="multilevel"/>
    <w:tmpl w:val="A900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6387D"/>
    <w:multiLevelType w:val="multilevel"/>
    <w:tmpl w:val="BD5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308B4"/>
    <w:multiLevelType w:val="multilevel"/>
    <w:tmpl w:val="3C48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03B6D"/>
    <w:multiLevelType w:val="multilevel"/>
    <w:tmpl w:val="E9A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127B8"/>
    <w:multiLevelType w:val="multilevel"/>
    <w:tmpl w:val="F7B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2219E"/>
    <w:multiLevelType w:val="multilevel"/>
    <w:tmpl w:val="A5B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6286A"/>
    <w:multiLevelType w:val="multilevel"/>
    <w:tmpl w:val="61CA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C7B14"/>
    <w:multiLevelType w:val="multilevel"/>
    <w:tmpl w:val="FE5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957D4"/>
    <w:multiLevelType w:val="multilevel"/>
    <w:tmpl w:val="3946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F0680"/>
    <w:multiLevelType w:val="multilevel"/>
    <w:tmpl w:val="08C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73B5B"/>
    <w:multiLevelType w:val="multilevel"/>
    <w:tmpl w:val="B802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D65E8"/>
    <w:multiLevelType w:val="multilevel"/>
    <w:tmpl w:val="62F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E7923"/>
    <w:multiLevelType w:val="multilevel"/>
    <w:tmpl w:val="27F8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64CEC"/>
    <w:multiLevelType w:val="multilevel"/>
    <w:tmpl w:val="5C3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05570"/>
    <w:multiLevelType w:val="multilevel"/>
    <w:tmpl w:val="BFA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16CD5"/>
    <w:multiLevelType w:val="multilevel"/>
    <w:tmpl w:val="0DB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96F94"/>
    <w:multiLevelType w:val="multilevel"/>
    <w:tmpl w:val="B97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2752B"/>
    <w:multiLevelType w:val="multilevel"/>
    <w:tmpl w:val="7C7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B5396"/>
    <w:multiLevelType w:val="multilevel"/>
    <w:tmpl w:val="B67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C00E8D"/>
    <w:multiLevelType w:val="multilevel"/>
    <w:tmpl w:val="C39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F2E6E"/>
    <w:multiLevelType w:val="multilevel"/>
    <w:tmpl w:val="BFF6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B4B1A"/>
    <w:multiLevelType w:val="multilevel"/>
    <w:tmpl w:val="DBF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60F4F"/>
    <w:multiLevelType w:val="multilevel"/>
    <w:tmpl w:val="F1C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E96C06"/>
    <w:multiLevelType w:val="multilevel"/>
    <w:tmpl w:val="CC5A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31952"/>
    <w:multiLevelType w:val="multilevel"/>
    <w:tmpl w:val="3B1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F5D36"/>
    <w:multiLevelType w:val="multilevel"/>
    <w:tmpl w:val="4C7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E2DBD"/>
    <w:multiLevelType w:val="multilevel"/>
    <w:tmpl w:val="B35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D7485A"/>
    <w:multiLevelType w:val="multilevel"/>
    <w:tmpl w:val="BDA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581501"/>
    <w:multiLevelType w:val="multilevel"/>
    <w:tmpl w:val="D27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55033"/>
    <w:multiLevelType w:val="multilevel"/>
    <w:tmpl w:val="EC2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ED722C"/>
    <w:multiLevelType w:val="multilevel"/>
    <w:tmpl w:val="970E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8A20C8"/>
    <w:multiLevelType w:val="multilevel"/>
    <w:tmpl w:val="9C9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7F01E2"/>
    <w:multiLevelType w:val="multilevel"/>
    <w:tmpl w:val="DF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0439BB"/>
    <w:multiLevelType w:val="multilevel"/>
    <w:tmpl w:val="19E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574D26"/>
    <w:multiLevelType w:val="multilevel"/>
    <w:tmpl w:val="FBA4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33"/>
  </w:num>
  <w:num w:numId="8">
    <w:abstractNumId w:val="18"/>
  </w:num>
  <w:num w:numId="9">
    <w:abstractNumId w:val="23"/>
  </w:num>
  <w:num w:numId="10">
    <w:abstractNumId w:val="10"/>
  </w:num>
  <w:num w:numId="11">
    <w:abstractNumId w:val="25"/>
  </w:num>
  <w:num w:numId="12">
    <w:abstractNumId w:val="32"/>
  </w:num>
  <w:num w:numId="13">
    <w:abstractNumId w:val="21"/>
  </w:num>
  <w:num w:numId="14">
    <w:abstractNumId w:val="3"/>
  </w:num>
  <w:num w:numId="15">
    <w:abstractNumId w:val="16"/>
  </w:num>
  <w:num w:numId="16">
    <w:abstractNumId w:val="28"/>
  </w:num>
  <w:num w:numId="17">
    <w:abstractNumId w:val="30"/>
  </w:num>
  <w:num w:numId="18">
    <w:abstractNumId w:val="20"/>
  </w:num>
  <w:num w:numId="19">
    <w:abstractNumId w:val="6"/>
  </w:num>
  <w:num w:numId="20">
    <w:abstractNumId w:val="5"/>
  </w:num>
  <w:num w:numId="21">
    <w:abstractNumId w:val="15"/>
  </w:num>
  <w:num w:numId="22">
    <w:abstractNumId w:val="12"/>
  </w:num>
  <w:num w:numId="23">
    <w:abstractNumId w:val="8"/>
  </w:num>
  <w:num w:numId="24">
    <w:abstractNumId w:val="11"/>
  </w:num>
  <w:num w:numId="25">
    <w:abstractNumId w:val="29"/>
  </w:num>
  <w:num w:numId="26">
    <w:abstractNumId w:val="27"/>
  </w:num>
  <w:num w:numId="27">
    <w:abstractNumId w:val="17"/>
  </w:num>
  <w:num w:numId="28">
    <w:abstractNumId w:val="2"/>
  </w:num>
  <w:num w:numId="29">
    <w:abstractNumId w:val="26"/>
  </w:num>
  <w:num w:numId="30">
    <w:abstractNumId w:val="19"/>
  </w:num>
  <w:num w:numId="31">
    <w:abstractNumId w:val="0"/>
  </w:num>
  <w:num w:numId="32">
    <w:abstractNumId w:val="14"/>
  </w:num>
  <w:num w:numId="33">
    <w:abstractNumId w:val="24"/>
  </w:num>
  <w:num w:numId="34">
    <w:abstractNumId w:val="31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23ECB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90F60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0D7C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32C02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uiPriority w:val="99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  <w:style w:type="paragraph" w:customStyle="1" w:styleId="ConsPlusNonformat">
    <w:name w:val="ConsPlusNonformat"/>
    <w:uiPriority w:val="99"/>
    <w:rsid w:val="00423E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ARB;n=856885;dst=100062" TargetMode="External"/><Relationship Id="rId21" Type="http://schemas.openxmlformats.org/officeDocument/2006/relationships/hyperlink" Target="consultantplus://offline/main?base=ARB;n=856445;dst=100051" TargetMode="External"/><Relationship Id="rId42" Type="http://schemas.openxmlformats.org/officeDocument/2006/relationships/hyperlink" Target="consultantplus://offline/main?base=ARB;n=857641;dst=100075" TargetMode="External"/><Relationship Id="rId47" Type="http://schemas.openxmlformats.org/officeDocument/2006/relationships/hyperlink" Target="consultantplus://offline/main?base=ARB;n=856877;dst=100072" TargetMode="External"/><Relationship Id="rId63" Type="http://schemas.openxmlformats.org/officeDocument/2006/relationships/hyperlink" Target="consultantplus://offline/main?base=ARB;n=856880;dst=100073" TargetMode="External"/><Relationship Id="rId68" Type="http://schemas.openxmlformats.org/officeDocument/2006/relationships/hyperlink" Target="consultantplus://offline/main?base=LAW;n=494627;dst=100352" TargetMode="External"/><Relationship Id="rId84" Type="http://schemas.openxmlformats.org/officeDocument/2006/relationships/header" Target="header2.xml"/><Relationship Id="rId16" Type="http://schemas.openxmlformats.org/officeDocument/2006/relationships/hyperlink" Target="https://ondb.consultant.ru/news/28964/" TargetMode="External"/><Relationship Id="rId11" Type="http://schemas.openxmlformats.org/officeDocument/2006/relationships/hyperlink" Target="https://ondb.consultant.ru/news/28964/" TargetMode="External"/><Relationship Id="rId32" Type="http://schemas.openxmlformats.org/officeDocument/2006/relationships/hyperlink" Target="consultantplus://offline/main?base=ARB;n=856600;dst=100051" TargetMode="External"/><Relationship Id="rId37" Type="http://schemas.openxmlformats.org/officeDocument/2006/relationships/hyperlink" Target="consultantplus://offline/main?base=ARB;n=856561;dst=100060" TargetMode="External"/><Relationship Id="rId53" Type="http://schemas.openxmlformats.org/officeDocument/2006/relationships/hyperlink" Target="consultantplus://offline/main?base=ARB;n=856878;dst=100048" TargetMode="External"/><Relationship Id="rId58" Type="http://schemas.openxmlformats.org/officeDocument/2006/relationships/hyperlink" Target="consultantplus://offline/main?base=ARB;n=856879;dst=0" TargetMode="External"/><Relationship Id="rId74" Type="http://schemas.openxmlformats.org/officeDocument/2006/relationships/hyperlink" Target="consultantplus://offline/main?base=ARB;n=857885;dst=100068" TargetMode="External"/><Relationship Id="rId79" Type="http://schemas.openxmlformats.org/officeDocument/2006/relationships/hyperlink" Target="consultantplus://offline/main?base=ARB;n=858511;dst=10005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ondb.consultant.ru/news/28964/" TargetMode="External"/><Relationship Id="rId14" Type="http://schemas.openxmlformats.org/officeDocument/2006/relationships/hyperlink" Target="https://ondb.consultant.ru/news/28964/" TargetMode="External"/><Relationship Id="rId22" Type="http://schemas.openxmlformats.org/officeDocument/2006/relationships/hyperlink" Target="consultantplus://offline/main?base=ARB;n=856445;dst=100052" TargetMode="External"/><Relationship Id="rId27" Type="http://schemas.openxmlformats.org/officeDocument/2006/relationships/hyperlink" Target="consultantplus://offline/main?base=ARB;n=856885;dst=100061" TargetMode="External"/><Relationship Id="rId30" Type="http://schemas.openxmlformats.org/officeDocument/2006/relationships/hyperlink" Target="consultantplus://offline/main?base=LAW;n=482692;dst=101897" TargetMode="External"/><Relationship Id="rId35" Type="http://schemas.openxmlformats.org/officeDocument/2006/relationships/hyperlink" Target="consultantplus://offline/main?base=LAW;n=482692;dst=101897" TargetMode="External"/><Relationship Id="rId43" Type="http://schemas.openxmlformats.org/officeDocument/2006/relationships/hyperlink" Target="consultantplus://offline/main?base=ARB;n=857641;dst=100080" TargetMode="External"/><Relationship Id="rId48" Type="http://schemas.openxmlformats.org/officeDocument/2006/relationships/hyperlink" Target="consultantplus://offline/main?base=ARB;n=856877;dst=100065" TargetMode="External"/><Relationship Id="rId56" Type="http://schemas.openxmlformats.org/officeDocument/2006/relationships/hyperlink" Target="consultantplus://offline/main?base=ARB;n=856879;dst=100037" TargetMode="External"/><Relationship Id="rId64" Type="http://schemas.openxmlformats.org/officeDocument/2006/relationships/hyperlink" Target="consultantplus://offline/main?base=ARB;n=856880;dst=100077" TargetMode="External"/><Relationship Id="rId69" Type="http://schemas.openxmlformats.org/officeDocument/2006/relationships/hyperlink" Target="consultantplus://offline/main?base=ARB;n=856531;dst=100064" TargetMode="External"/><Relationship Id="rId77" Type="http://schemas.openxmlformats.org/officeDocument/2006/relationships/hyperlink" Target="consultantplus://offline/main?base=ARB;n=857885;dst=100068" TargetMode="External"/><Relationship Id="rId8" Type="http://schemas.openxmlformats.org/officeDocument/2006/relationships/hyperlink" Target="https://ondb.consultant.ru/news/28964/" TargetMode="External"/><Relationship Id="rId51" Type="http://schemas.openxmlformats.org/officeDocument/2006/relationships/hyperlink" Target="consultantplus://offline/main?base=ARB;n=856878;dst=100043" TargetMode="External"/><Relationship Id="rId72" Type="http://schemas.openxmlformats.org/officeDocument/2006/relationships/hyperlink" Target="consultantplus://offline/main?base=ARB;n=856531;dst=100064" TargetMode="External"/><Relationship Id="rId80" Type="http://schemas.openxmlformats.org/officeDocument/2006/relationships/hyperlink" Target="consultantplus://offline/main?base=ARB;n=858511;dst=100054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ondb.consultant.ru/news/28964/" TargetMode="External"/><Relationship Id="rId17" Type="http://schemas.openxmlformats.org/officeDocument/2006/relationships/hyperlink" Target="https://ondb.consultant.ru/news/28964/" TargetMode="External"/><Relationship Id="rId25" Type="http://schemas.openxmlformats.org/officeDocument/2006/relationships/hyperlink" Target="consultantplus://offline/main?base=ARB;n=856445;dst=0" TargetMode="External"/><Relationship Id="rId33" Type="http://schemas.openxmlformats.org/officeDocument/2006/relationships/hyperlink" Target="consultantplus://offline/main?base=LAW;n=482692;dst=10573" TargetMode="External"/><Relationship Id="rId38" Type="http://schemas.openxmlformats.org/officeDocument/2006/relationships/hyperlink" Target="consultantplus://offline/main?base=ARB;n=856561;dst=100062" TargetMode="External"/><Relationship Id="rId46" Type="http://schemas.openxmlformats.org/officeDocument/2006/relationships/hyperlink" Target="consultantplus://offline/main?base=ARB;n=856877;dst=100054" TargetMode="External"/><Relationship Id="rId59" Type="http://schemas.openxmlformats.org/officeDocument/2006/relationships/hyperlink" Target="consultantplus://offline/main?base=LAW;n=479540;dst=35" TargetMode="External"/><Relationship Id="rId67" Type="http://schemas.openxmlformats.org/officeDocument/2006/relationships/hyperlink" Target="consultantplus://offline/main?base=LAW;n=495301;dst=392" TargetMode="External"/><Relationship Id="rId20" Type="http://schemas.openxmlformats.org/officeDocument/2006/relationships/hyperlink" Target="https://ondb.consultant.ru/news/28964/" TargetMode="External"/><Relationship Id="rId41" Type="http://schemas.openxmlformats.org/officeDocument/2006/relationships/hyperlink" Target="consultantplus://offline/main?base=ARB;n=856534;dst=0" TargetMode="External"/><Relationship Id="rId54" Type="http://schemas.openxmlformats.org/officeDocument/2006/relationships/hyperlink" Target="consultantplus://offline/main?base=ARB;n=856878;dst=100051" TargetMode="External"/><Relationship Id="rId62" Type="http://schemas.openxmlformats.org/officeDocument/2006/relationships/hyperlink" Target="consultantplus://offline/main?base=ARB;n=856880;dst=100074" TargetMode="External"/><Relationship Id="rId70" Type="http://schemas.openxmlformats.org/officeDocument/2006/relationships/hyperlink" Target="consultantplus://offline/main?base=ARB;n=856531;dst=100057" TargetMode="External"/><Relationship Id="rId75" Type="http://schemas.openxmlformats.org/officeDocument/2006/relationships/hyperlink" Target="consultantplus://offline/main?base=ARB;n=857885;dst=100076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db.consultant.ru/news/28964/" TargetMode="External"/><Relationship Id="rId23" Type="http://schemas.openxmlformats.org/officeDocument/2006/relationships/hyperlink" Target="consultantplus://offline/main?base=ARB;n=856445;dst=100067" TargetMode="External"/><Relationship Id="rId28" Type="http://schemas.openxmlformats.org/officeDocument/2006/relationships/hyperlink" Target="consultantplus://offline/main?base=ARB;n=856885;dst=100064" TargetMode="External"/><Relationship Id="rId36" Type="http://schemas.openxmlformats.org/officeDocument/2006/relationships/hyperlink" Target="consultantplus://offline/main?base=ARB;n=856600;dst=0" TargetMode="External"/><Relationship Id="rId49" Type="http://schemas.openxmlformats.org/officeDocument/2006/relationships/hyperlink" Target="consultantplus://offline/main?base=ARB;n=856877;dst=0" TargetMode="External"/><Relationship Id="rId57" Type="http://schemas.openxmlformats.org/officeDocument/2006/relationships/hyperlink" Target="consultantplus://offline/main?base=ARB;n=856879;dst=100038" TargetMode="External"/><Relationship Id="rId10" Type="http://schemas.openxmlformats.org/officeDocument/2006/relationships/hyperlink" Target="https://ondb.consultant.ru/news/28964/" TargetMode="External"/><Relationship Id="rId31" Type="http://schemas.openxmlformats.org/officeDocument/2006/relationships/hyperlink" Target="consultantplus://offline/main?base=ARB;n=856600;dst=100052" TargetMode="External"/><Relationship Id="rId44" Type="http://schemas.openxmlformats.org/officeDocument/2006/relationships/hyperlink" Target="consultantplus://offline/main?base=ARB;n=857641;dst=100082" TargetMode="External"/><Relationship Id="rId52" Type="http://schemas.openxmlformats.org/officeDocument/2006/relationships/hyperlink" Target="consultantplus://offline/main?base=ARB;n=856878;dst=100044" TargetMode="External"/><Relationship Id="rId60" Type="http://schemas.openxmlformats.org/officeDocument/2006/relationships/hyperlink" Target="consultantplus://offline/main?base=ARB;n=856880;dst=100058" TargetMode="External"/><Relationship Id="rId65" Type="http://schemas.openxmlformats.org/officeDocument/2006/relationships/hyperlink" Target="consultantplus://offline/main?base=ARB;n=856880;dst=0" TargetMode="External"/><Relationship Id="rId73" Type="http://schemas.openxmlformats.org/officeDocument/2006/relationships/hyperlink" Target="consultantplus://offline/main?base=ARB;n=857885;dst=100066" TargetMode="External"/><Relationship Id="rId78" Type="http://schemas.openxmlformats.org/officeDocument/2006/relationships/hyperlink" Target="consultantplus://offline/main?base=ARB;n=858511;dst=100042" TargetMode="External"/><Relationship Id="rId81" Type="http://schemas.openxmlformats.org/officeDocument/2006/relationships/hyperlink" Target="consultantplus://offline/main?base=ARB;n=858511;dst=100042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db.consultant.ru/news/28964/" TargetMode="External"/><Relationship Id="rId13" Type="http://schemas.openxmlformats.org/officeDocument/2006/relationships/hyperlink" Target="https://ondb.consultant.ru/news/28964/" TargetMode="External"/><Relationship Id="rId18" Type="http://schemas.openxmlformats.org/officeDocument/2006/relationships/hyperlink" Target="https://ondb.consultant.ru/news/28964/" TargetMode="External"/><Relationship Id="rId39" Type="http://schemas.openxmlformats.org/officeDocument/2006/relationships/hyperlink" Target="consultantplus://offline/main?base=ARB;n=856561;dst=0" TargetMode="External"/><Relationship Id="rId34" Type="http://schemas.openxmlformats.org/officeDocument/2006/relationships/hyperlink" Target="consultantplus://offline/main?base=ARB;n=856600;dst=100054" TargetMode="External"/><Relationship Id="rId50" Type="http://schemas.openxmlformats.org/officeDocument/2006/relationships/hyperlink" Target="consultantplus://offline/main?base=ARB;n=856878;dst=100042" TargetMode="External"/><Relationship Id="rId55" Type="http://schemas.openxmlformats.org/officeDocument/2006/relationships/hyperlink" Target="consultantplus://offline/main?base=ARB;n=856878;dst=0" TargetMode="External"/><Relationship Id="rId76" Type="http://schemas.openxmlformats.org/officeDocument/2006/relationships/hyperlink" Target="consultantplus://offline/main?base=ARB;n=857885;dst=100074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main?base=ARB;n=856531;dst=100065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main?base=ARB;n=856885;dst=0" TargetMode="External"/><Relationship Id="rId24" Type="http://schemas.openxmlformats.org/officeDocument/2006/relationships/hyperlink" Target="consultantplus://offline/main?base=ARB;n=856445;dst=100068" TargetMode="External"/><Relationship Id="rId40" Type="http://schemas.openxmlformats.org/officeDocument/2006/relationships/hyperlink" Target="consultantplus://offline/main?base=ARB;n=856534;dst=100043" TargetMode="External"/><Relationship Id="rId45" Type="http://schemas.openxmlformats.org/officeDocument/2006/relationships/hyperlink" Target="consultantplus://offline/main?base=ARB;n=857641;dst=100082" TargetMode="External"/><Relationship Id="rId66" Type="http://schemas.openxmlformats.org/officeDocument/2006/relationships/hyperlink" Target="consultantplus://offline/main?base=ARB;n=856618;dst=0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main?base=ARB;n=856880;dst=100060" TargetMode="External"/><Relationship Id="rId8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58350-5264-4AF0-9E02-F923C3A9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D40EC092</Template>
  <TotalTime>5</TotalTime>
  <Pages>6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2025-07-11T13:47:00Z</dcterms:created>
  <dcterms:modified xsi:type="dcterms:W3CDTF">2025-07-11T13:51:00Z</dcterms:modified>
</cp:coreProperties>
</file>