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3A" w:rsidRPr="003165B3" w:rsidRDefault="0072143A" w:rsidP="0072143A">
      <w:pPr>
        <w:jc w:val="center"/>
        <w:rPr>
          <w:rFonts w:ascii="Arial" w:hAnsi="Arial" w:cs="Arial"/>
          <w:b/>
          <w:bCs/>
          <w:iCs/>
          <w:color w:val="2F5496"/>
          <w:sz w:val="32"/>
          <w:szCs w:val="32"/>
        </w:rPr>
      </w:pPr>
      <w:bookmarkStart w:id="0" w:name="_Toc168307004"/>
      <w:bookmarkStart w:id="1" w:name="_Toc168456544"/>
      <w:bookmarkStart w:id="2" w:name="_Toc168472486"/>
      <w:bookmarkStart w:id="3" w:name="_Toc168473407"/>
      <w:bookmarkStart w:id="4" w:name="_Toc168994151"/>
      <w:bookmarkStart w:id="5" w:name="_Toc168994302"/>
      <w:bookmarkStart w:id="6" w:name="_GoBack"/>
      <w:r w:rsidRPr="003165B3">
        <w:rPr>
          <w:rFonts w:ascii="Arial" w:hAnsi="Arial" w:cs="Arial"/>
          <w:b/>
          <w:bCs/>
          <w:iCs/>
          <w:color w:val="2F5496"/>
          <w:sz w:val="32"/>
          <w:szCs w:val="32"/>
        </w:rPr>
        <w:t>ВЗАИМОДЕЙСТВИЕ С ИФНС</w:t>
      </w:r>
    </w:p>
    <w:bookmarkEnd w:id="6"/>
    <w:p w:rsidR="0072143A" w:rsidRPr="003165B3" w:rsidRDefault="0072143A" w:rsidP="0072143A">
      <w:pPr>
        <w:rPr>
          <w:rFonts w:ascii="Arial" w:hAnsi="Arial" w:cs="Arial"/>
          <w:color w:val="2F5496"/>
          <w:sz w:val="32"/>
          <w:szCs w:val="32"/>
        </w:rPr>
      </w:pPr>
    </w:p>
    <w:p w:rsidR="0072143A" w:rsidRPr="003165B3" w:rsidRDefault="0072143A" w:rsidP="0072143A">
      <w:pPr>
        <w:pStyle w:val="3"/>
        <w:rPr>
          <w:rFonts w:ascii="Arial" w:hAnsi="Arial" w:cs="Arial"/>
          <w:color w:val="2F5496"/>
          <w:sz w:val="20"/>
          <w:szCs w:val="20"/>
        </w:rPr>
      </w:pPr>
      <w:bookmarkStart w:id="7" w:name="_Toc168307028"/>
      <w:bookmarkStart w:id="8" w:name="_Toc168456568"/>
      <w:bookmarkStart w:id="9" w:name="_Toc168472547"/>
      <w:bookmarkStart w:id="10" w:name="_Toc168473431"/>
      <w:bookmarkStart w:id="11" w:name="_Toc168994175"/>
      <w:bookmarkStart w:id="12" w:name="_Toc168994326"/>
      <w:bookmarkStart w:id="13" w:name="_Toc168307034"/>
      <w:bookmarkStart w:id="14" w:name="_Toc168456574"/>
      <w:bookmarkStart w:id="15" w:name="_Toc168472559"/>
      <w:bookmarkStart w:id="16" w:name="_Toc168473437"/>
      <w:bookmarkStart w:id="17" w:name="_Toc168994181"/>
      <w:bookmarkStart w:id="18" w:name="_Toc168994332"/>
      <w:bookmarkStart w:id="19" w:name="_Toc168307041"/>
      <w:bookmarkStart w:id="20" w:name="_Toc168456581"/>
      <w:bookmarkStart w:id="21" w:name="_Toc168472574"/>
      <w:bookmarkStart w:id="22" w:name="_Toc168473444"/>
      <w:bookmarkStart w:id="23" w:name="_Toc168994188"/>
      <w:bookmarkStart w:id="24" w:name="_Toc168994339"/>
      <w:bookmarkStart w:id="25" w:name="_Toc168307048"/>
      <w:bookmarkStart w:id="26" w:name="_Toc168456588"/>
      <w:bookmarkStart w:id="27" w:name="_Toc168472586"/>
      <w:bookmarkStart w:id="28" w:name="_Toc168473451"/>
      <w:bookmarkStart w:id="29" w:name="_Toc168994195"/>
      <w:bookmarkStart w:id="30" w:name="_Toc168994346"/>
      <w:r w:rsidRPr="003165B3">
        <w:rPr>
          <w:rFonts w:ascii="Arial" w:hAnsi="Arial" w:cs="Arial"/>
          <w:color w:val="2F5496"/>
          <w:sz w:val="20"/>
          <w:szCs w:val="20"/>
        </w:rPr>
        <w:t>Выдержки из нормативных документов</w:t>
      </w:r>
      <w:bookmarkEnd w:id="25"/>
      <w:bookmarkEnd w:id="26"/>
      <w:bookmarkEnd w:id="27"/>
      <w:bookmarkEnd w:id="28"/>
      <w:bookmarkEnd w:id="29"/>
      <w:bookmarkEnd w:id="30"/>
    </w:p>
    <w:p w:rsidR="0072143A" w:rsidRPr="0072143A" w:rsidRDefault="0072143A" w:rsidP="0072143A">
      <w:pPr>
        <w:rPr>
          <w:rFonts w:ascii="Arial" w:hAnsi="Arial" w:cs="Arial"/>
          <w:sz w:val="20"/>
          <w:szCs w:val="20"/>
        </w:rPr>
      </w:pPr>
    </w:p>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iCs/>
          <w:sz w:val="20"/>
          <w:szCs w:val="20"/>
          <w:u w:val="single"/>
        </w:rPr>
      </w:pPr>
      <w:hyperlink r:id="rId8" w:tooltip="Ссылка на КонсультантПлюс" w:history="1">
        <w:r w:rsidRPr="0072143A">
          <w:rPr>
            <w:rFonts w:ascii="Arial" w:hAnsi="Arial" w:cs="Arial"/>
            <w:b/>
            <w:i/>
            <w:iCs/>
            <w:color w:val="0000FF"/>
            <w:sz w:val="20"/>
            <w:szCs w:val="20"/>
            <w:u w:val="single"/>
          </w:rPr>
          <w:t>Приказ ФНС России от 30.01.2025 N ЕД-7-8/61@ "Об утверждении формы и формата представления в налоговый орган в электрон</w:t>
        </w:r>
        <w:r w:rsidRPr="0072143A">
          <w:rPr>
            <w:rFonts w:ascii="Arial" w:hAnsi="Arial" w:cs="Arial"/>
            <w:b/>
            <w:i/>
            <w:iCs/>
            <w:color w:val="0000FF"/>
            <w:sz w:val="20"/>
            <w:szCs w:val="20"/>
            <w:u w:val="single"/>
          </w:rPr>
          <w:t>н</w:t>
        </w:r>
        <w:r w:rsidRPr="0072143A">
          <w:rPr>
            <w:rFonts w:ascii="Arial" w:hAnsi="Arial" w:cs="Arial"/>
            <w:b/>
            <w:i/>
            <w:iCs/>
            <w:color w:val="0000FF"/>
            <w:sz w:val="20"/>
            <w:szCs w:val="20"/>
            <w:u w:val="single"/>
          </w:rPr>
          <w:t>ой форме заявления о представлении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w:t>
        </w:r>
        <w:r w:rsidRPr="0072143A">
          <w:rPr>
            <w:rFonts w:ascii="Arial" w:hAnsi="Arial" w:cs="Arial"/>
            <w:b/>
            <w:i/>
            <w:iCs/>
            <w:color w:val="0000FF"/>
            <w:sz w:val="20"/>
            <w:szCs w:val="20"/>
            <w:u w:val="single"/>
          </w:rPr>
          <w:t>а</w:t>
        </w:r>
        <w:r w:rsidRPr="0072143A">
          <w:rPr>
            <w:rFonts w:ascii="Arial" w:hAnsi="Arial" w:cs="Arial"/>
            <w:b/>
            <w:i/>
            <w:iCs/>
            <w:color w:val="0000FF"/>
            <w:sz w:val="20"/>
            <w:szCs w:val="20"/>
            <w:u w:val="single"/>
          </w:rPr>
          <w:t>тельщика, плательщика сбора, плательщика страховых взносов или налогового агента, сп</w:t>
        </w:r>
        <w:r w:rsidRPr="0072143A">
          <w:rPr>
            <w:rFonts w:ascii="Arial" w:hAnsi="Arial" w:cs="Arial"/>
            <w:b/>
            <w:i/>
            <w:iCs/>
            <w:color w:val="0000FF"/>
            <w:sz w:val="20"/>
            <w:szCs w:val="20"/>
            <w:u w:val="single"/>
          </w:rPr>
          <w:t>р</w:t>
        </w:r>
        <w:r w:rsidRPr="0072143A">
          <w:rPr>
            <w:rFonts w:ascii="Arial" w:hAnsi="Arial" w:cs="Arial"/>
            <w:b/>
            <w:i/>
            <w:iCs/>
            <w:color w:val="0000FF"/>
            <w:sz w:val="20"/>
            <w:szCs w:val="20"/>
            <w:u w:val="single"/>
          </w:rPr>
          <w:t>авки о принадлежности сумм денежных средств, перечисленных в качестве единого налогового платежа, и справки об исполнении обязанности по уплате налогов, сборов, страховых взносов, пеней, штрафов, процентов"</w:t>
        </w:r>
      </w:hyperlink>
    </w:p>
    <w:p w:rsidR="0072143A" w:rsidRDefault="0072143A" w:rsidP="0072143A">
      <w:pPr>
        <w:jc w:val="both"/>
        <w:rPr>
          <w:rFonts w:ascii="Arial" w:hAnsi="Arial" w:cs="Arial"/>
          <w:bCs/>
          <w:iCs/>
          <w:sz w:val="20"/>
          <w:szCs w:val="20"/>
        </w:rPr>
      </w:pPr>
    </w:p>
    <w:p w:rsidR="0072143A" w:rsidRPr="0072143A" w:rsidRDefault="0072143A" w:rsidP="0072143A">
      <w:pPr>
        <w:jc w:val="both"/>
        <w:rPr>
          <w:rFonts w:ascii="Arial" w:hAnsi="Arial" w:cs="Arial"/>
          <w:bCs/>
          <w:iCs/>
          <w:sz w:val="20"/>
          <w:szCs w:val="20"/>
        </w:rPr>
      </w:pPr>
      <w:r w:rsidRPr="0072143A">
        <w:rPr>
          <w:rFonts w:ascii="Arial" w:hAnsi="Arial" w:cs="Arial"/>
          <w:bCs/>
          <w:iCs/>
          <w:sz w:val="20"/>
          <w:szCs w:val="20"/>
        </w:rPr>
        <w:t>1. Утвердить:</w:t>
      </w:r>
    </w:p>
    <w:p w:rsidR="0072143A" w:rsidRPr="0072143A" w:rsidRDefault="0072143A" w:rsidP="0072143A">
      <w:pPr>
        <w:jc w:val="both"/>
        <w:rPr>
          <w:rFonts w:ascii="Arial" w:hAnsi="Arial" w:cs="Arial"/>
          <w:bCs/>
          <w:iCs/>
          <w:sz w:val="20"/>
          <w:szCs w:val="20"/>
        </w:rPr>
      </w:pPr>
      <w:hyperlink r:id="rId9" w:history="1">
        <w:r w:rsidRPr="0072143A">
          <w:rPr>
            <w:rFonts w:ascii="Arial" w:hAnsi="Arial" w:cs="Arial"/>
            <w:bCs/>
            <w:iCs/>
            <w:color w:val="0000FF"/>
            <w:sz w:val="20"/>
            <w:szCs w:val="20"/>
            <w:u w:val="single"/>
          </w:rPr>
          <w:t>фо</w:t>
        </w:r>
        <w:r w:rsidRPr="0072143A">
          <w:rPr>
            <w:rFonts w:ascii="Arial" w:hAnsi="Arial" w:cs="Arial"/>
            <w:bCs/>
            <w:iCs/>
            <w:color w:val="0000FF"/>
            <w:sz w:val="20"/>
            <w:szCs w:val="20"/>
            <w:u w:val="single"/>
          </w:rPr>
          <w:t>р</w:t>
        </w:r>
        <w:r w:rsidRPr="0072143A">
          <w:rPr>
            <w:rFonts w:ascii="Arial" w:hAnsi="Arial" w:cs="Arial"/>
            <w:bCs/>
            <w:iCs/>
            <w:color w:val="0000FF"/>
            <w:sz w:val="20"/>
            <w:szCs w:val="20"/>
            <w:u w:val="single"/>
          </w:rPr>
          <w:t>му</w:t>
        </w:r>
      </w:hyperlink>
      <w:r w:rsidRPr="0072143A">
        <w:rPr>
          <w:rFonts w:ascii="Arial" w:hAnsi="Arial" w:cs="Arial"/>
          <w:bCs/>
          <w:iCs/>
          <w:sz w:val="20"/>
          <w:szCs w:val="20"/>
        </w:rPr>
        <w:t xml:space="preserve"> заявления о представлении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справки о принадлежности сумм денежных средств, перечисленных в качестве единого налогового платежа, и справки об исполнении обязанности по уплате налогов, сборов, страховых взносов, пеней, штрафов, процентов согласно приложению N 1 к настоящему приказу; </w:t>
      </w:r>
    </w:p>
    <w:p w:rsidR="0072143A" w:rsidRPr="0072143A" w:rsidRDefault="0072143A" w:rsidP="0072143A">
      <w:pPr>
        <w:jc w:val="both"/>
        <w:rPr>
          <w:rFonts w:ascii="Arial" w:hAnsi="Arial" w:cs="Arial"/>
          <w:bCs/>
          <w:iCs/>
          <w:sz w:val="20"/>
          <w:szCs w:val="20"/>
        </w:rPr>
      </w:pPr>
      <w:hyperlink r:id="rId10" w:history="1">
        <w:r w:rsidRPr="0072143A">
          <w:rPr>
            <w:rFonts w:ascii="Arial" w:hAnsi="Arial" w:cs="Arial"/>
            <w:bCs/>
            <w:iCs/>
            <w:color w:val="0000FF"/>
            <w:sz w:val="20"/>
            <w:szCs w:val="20"/>
            <w:u w:val="single"/>
          </w:rPr>
          <w:t>формат</w:t>
        </w:r>
      </w:hyperlink>
      <w:r w:rsidRPr="0072143A">
        <w:rPr>
          <w:rFonts w:ascii="Arial" w:hAnsi="Arial" w:cs="Arial"/>
          <w:bCs/>
          <w:iCs/>
          <w:sz w:val="20"/>
          <w:szCs w:val="20"/>
        </w:rPr>
        <w:t xml:space="preserve"> представления в налоговый орган в электронной форме заявления о представлении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справки о принадлежности сумм денежных средств, перечисленных в качестве единого налогового платежа, и справки об исполнении обязанности по уплате налогов, сборов, страховых взносов, пеней, штрафов, процентов согласно приложению N 2 к настоящему приказу. </w:t>
      </w:r>
    </w:p>
    <w:p w:rsidR="0072143A" w:rsidRPr="0072143A" w:rsidRDefault="0072143A" w:rsidP="0072143A">
      <w:pPr>
        <w:jc w:val="both"/>
        <w:rPr>
          <w:rFonts w:ascii="Arial" w:hAnsi="Arial" w:cs="Arial"/>
          <w:bCs/>
          <w:iCs/>
          <w:sz w:val="20"/>
          <w:szCs w:val="20"/>
        </w:rPr>
      </w:pPr>
      <w:r w:rsidRPr="0072143A">
        <w:rPr>
          <w:rFonts w:ascii="Arial" w:hAnsi="Arial" w:cs="Arial"/>
          <w:bCs/>
          <w:iCs/>
          <w:sz w:val="20"/>
          <w:szCs w:val="20"/>
        </w:rPr>
        <w:t xml:space="preserve">2. Признать утратившим силу </w:t>
      </w:r>
      <w:hyperlink r:id="rId11" w:history="1">
        <w:r w:rsidRPr="0072143A">
          <w:rPr>
            <w:rFonts w:ascii="Arial" w:hAnsi="Arial" w:cs="Arial"/>
            <w:bCs/>
            <w:iCs/>
            <w:color w:val="0000FF"/>
            <w:sz w:val="20"/>
            <w:szCs w:val="20"/>
            <w:u w:val="single"/>
          </w:rPr>
          <w:t>приказ</w:t>
        </w:r>
      </w:hyperlink>
      <w:r w:rsidRPr="0072143A">
        <w:rPr>
          <w:rFonts w:ascii="Arial" w:hAnsi="Arial" w:cs="Arial"/>
          <w:bCs/>
          <w:iCs/>
          <w:sz w:val="20"/>
          <w:szCs w:val="20"/>
        </w:rPr>
        <w:t xml:space="preserve"> ФНС России от 14.11.2022 N ЕД-7-19/1086@ "Об утверждении формы заявления о представлении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справки о принадлежности сумм денежных средств, перечисленных в качестве единого налогового платежа, и справки об исполнении обязанности по уплате налогов, сборов, страховых взносов, пеней, штрафов, процентов и формата его представления в налоговый орган в электронной форме" (зарегистрирован Министерством юстиции Российской Федерации 22.12.2022, регистрационный N 71768). </w:t>
      </w:r>
    </w:p>
    <w:p w:rsidR="0072143A" w:rsidRPr="0072143A" w:rsidRDefault="0072143A" w:rsidP="0072143A">
      <w:pPr>
        <w:jc w:val="both"/>
        <w:rPr>
          <w:rFonts w:ascii="Arial" w:hAnsi="Arial" w:cs="Arial"/>
          <w:iCs/>
          <w:sz w:val="20"/>
          <w:szCs w:val="20"/>
        </w:rPr>
      </w:pPr>
      <w:r w:rsidRPr="0072143A">
        <w:rPr>
          <w:rFonts w:ascii="Arial" w:hAnsi="Arial" w:cs="Arial"/>
          <w:bCs/>
          <w:iCs/>
          <w:sz w:val="20"/>
          <w:szCs w:val="20"/>
        </w:rPr>
        <w:t>3. Установить, что настоящий приказ вступает в силу по истечении одного месяца со дня его официального опубликования.</w:t>
      </w:r>
    </w:p>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sz w:val="20"/>
          <w:szCs w:val="20"/>
        </w:rPr>
      </w:pPr>
      <w:hyperlink r:id="rId12" w:tooltip="Ссылка на КонсультантПлюс" w:history="1">
        <w:r w:rsidRPr="0072143A">
          <w:rPr>
            <w:rFonts w:ascii="Arial" w:hAnsi="Arial" w:cs="Arial"/>
            <w:b/>
            <w:i/>
            <w:iCs/>
            <w:color w:val="0000FF"/>
            <w:sz w:val="20"/>
            <w:szCs w:val="20"/>
            <w:u w:val="single"/>
          </w:rPr>
          <w:t>Постановление Семнадцатого арбитражного апелляционного суда от 25.03.2025 N 17АП-12160/2024-АК по делу N А60-27845/2024</w:t>
        </w:r>
      </w:hyperlink>
    </w:p>
    <w:p w:rsid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Учитывая изложенные принципы и обстоятельства настоящего дела, суд первой инстанции пришел к правильному выводу, что спорную сумму нельзя расценивать как излишне уплаченный налог, поскольку у заявителя не было намерения исполнять текущие или предстоящие налоговые обязательства.</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Принятие инспекцией спорных сумм в качестве ЕНП также не означает, что впоследствии налоговый орган, получив сведения о налоговых обязательствах предпринимателя, не вправе сделать вывод о незаконности осуществляемого возврата. На момент зачисления ЕНП такие сведения у инспекции объективно отсутствовали.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Поскольку впоследствии налоговым органом установлено перечисление денежных средств на ЕНС для целей, отличных от исполнения обязанности по уплате налога, в размере, существенно превышающем как текущие, так и возможные налоговые обязательства заявителя, суд первой инстанции пришел к верному выводу об отсутствии правовых оснований для удовлетворения заявленных требований.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Нарушений норм материального и процессуального права, которые в соответствии со </w:t>
      </w:r>
      <w:hyperlink r:id="rId13" w:history="1">
        <w:r w:rsidRPr="0072143A">
          <w:rPr>
            <w:rFonts w:ascii="Arial" w:hAnsi="Arial" w:cs="Arial"/>
            <w:iCs/>
            <w:color w:val="0000FF"/>
            <w:sz w:val="20"/>
            <w:szCs w:val="20"/>
            <w:u w:val="single"/>
          </w:rPr>
          <w:t>статьи 270</w:t>
        </w:r>
      </w:hyperlink>
      <w:r w:rsidRPr="0072143A">
        <w:rPr>
          <w:rFonts w:ascii="Arial" w:hAnsi="Arial" w:cs="Arial"/>
          <w:iCs/>
          <w:sz w:val="20"/>
          <w:szCs w:val="20"/>
        </w:rPr>
        <w:t xml:space="preserve"> АПК РФ являются основаниями к отмене или изменению судебных актов, судом апелляционной инстанции не установлено.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В силу </w:t>
      </w:r>
      <w:hyperlink r:id="rId14" w:history="1">
        <w:r w:rsidRPr="0072143A">
          <w:rPr>
            <w:rFonts w:ascii="Arial" w:hAnsi="Arial" w:cs="Arial"/>
            <w:iCs/>
            <w:color w:val="0000FF"/>
            <w:sz w:val="20"/>
            <w:szCs w:val="20"/>
            <w:u w:val="single"/>
          </w:rPr>
          <w:t>части 1 статьи 110</w:t>
        </w:r>
      </w:hyperlink>
      <w:r w:rsidRPr="0072143A">
        <w:rPr>
          <w:rFonts w:ascii="Arial" w:hAnsi="Arial" w:cs="Arial"/>
          <w:iCs/>
          <w:sz w:val="20"/>
          <w:szCs w:val="20"/>
        </w:rPr>
        <w:t xml:space="preserve"> АПК РФ судебные расходы истца по уплате госпошлины за подачу апелляционной жалобы в размере 10 000 руб. остаются на истце.  </w:t>
      </w:r>
    </w:p>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sz w:val="20"/>
          <w:szCs w:val="20"/>
        </w:rPr>
      </w:pPr>
      <w:hyperlink r:id="rId15" w:tooltip="Ссылка на КонсультантПлюс" w:history="1">
        <w:r w:rsidRPr="0072143A">
          <w:rPr>
            <w:rFonts w:ascii="Arial" w:hAnsi="Arial" w:cs="Arial"/>
            <w:b/>
            <w:i/>
            <w:iCs/>
            <w:color w:val="0000FF"/>
            <w:sz w:val="20"/>
            <w:szCs w:val="20"/>
            <w:u w:val="single"/>
          </w:rPr>
          <w:t xml:space="preserve">Приказ ФНС России от 21.02.2025 N ЕД-7-13/122@ "О внесении изменений в приложения к приказу Федеральной налоговой </w:t>
        </w:r>
        <w:r w:rsidRPr="0072143A">
          <w:rPr>
            <w:rFonts w:ascii="Arial" w:hAnsi="Arial" w:cs="Arial"/>
            <w:b/>
            <w:i/>
            <w:iCs/>
            <w:color w:val="0000FF"/>
            <w:sz w:val="20"/>
            <w:szCs w:val="20"/>
            <w:u w:val="single"/>
          </w:rPr>
          <w:t>с</w:t>
        </w:r>
        <w:r w:rsidRPr="0072143A">
          <w:rPr>
            <w:rFonts w:ascii="Arial" w:hAnsi="Arial" w:cs="Arial"/>
            <w:b/>
            <w:i/>
            <w:iCs/>
            <w:color w:val="0000FF"/>
            <w:sz w:val="20"/>
            <w:szCs w:val="20"/>
            <w:u w:val="single"/>
          </w:rPr>
          <w:t xml:space="preserve">лужбы от 07.11.2017 N ММВ-7-17/837@" </w:t>
        </w:r>
      </w:hyperlink>
    </w:p>
    <w:p w:rsid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1.1. </w:t>
      </w:r>
      <w:hyperlink r:id="rId16" w:history="1">
        <w:r w:rsidRPr="0072143A">
          <w:rPr>
            <w:rFonts w:ascii="Arial" w:hAnsi="Arial" w:cs="Arial"/>
            <w:iCs/>
            <w:color w:val="0000FF"/>
            <w:sz w:val="20"/>
            <w:szCs w:val="20"/>
            <w:u w:val="single"/>
          </w:rPr>
          <w:t>Приложение N 2</w:t>
        </w:r>
      </w:hyperlink>
      <w:r w:rsidRPr="0072143A">
        <w:rPr>
          <w:rFonts w:ascii="Arial" w:hAnsi="Arial" w:cs="Arial"/>
          <w:iCs/>
          <w:sz w:val="20"/>
          <w:szCs w:val="20"/>
        </w:rPr>
        <w:t xml:space="preserve"> изложить в редакции согласно </w:t>
      </w:r>
      <w:hyperlink r:id="rId17" w:history="1">
        <w:r w:rsidRPr="0072143A">
          <w:rPr>
            <w:rFonts w:ascii="Arial" w:hAnsi="Arial" w:cs="Arial"/>
            <w:iCs/>
            <w:color w:val="0000FF"/>
            <w:sz w:val="20"/>
            <w:szCs w:val="20"/>
            <w:u w:val="single"/>
          </w:rPr>
          <w:t>приложению</w:t>
        </w:r>
      </w:hyperlink>
      <w:r w:rsidRPr="0072143A">
        <w:rPr>
          <w:rFonts w:ascii="Arial" w:hAnsi="Arial" w:cs="Arial"/>
          <w:iCs/>
          <w:sz w:val="20"/>
          <w:szCs w:val="20"/>
        </w:rPr>
        <w:t xml:space="preserve"> к настоящему приказу.</w:t>
      </w:r>
    </w:p>
    <w:p w:rsid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1.2. В </w:t>
      </w:r>
      <w:hyperlink r:id="rId18" w:history="1">
        <w:r w:rsidRPr="0072143A">
          <w:rPr>
            <w:rFonts w:ascii="Arial" w:hAnsi="Arial" w:cs="Arial"/>
            <w:iCs/>
            <w:color w:val="0000FF"/>
            <w:sz w:val="20"/>
            <w:szCs w:val="20"/>
            <w:u w:val="single"/>
          </w:rPr>
          <w:t>приложении N 3</w:t>
        </w:r>
      </w:hyperlink>
      <w:r w:rsidRPr="0072143A">
        <w:rPr>
          <w:rFonts w:ascii="Arial" w:hAnsi="Arial" w:cs="Arial"/>
          <w:iCs/>
          <w:sz w:val="20"/>
          <w:szCs w:val="20"/>
        </w:rPr>
        <w:t xml:space="preserve">: </w:t>
      </w:r>
    </w:p>
    <w:p w:rsidR="0072143A" w:rsidRPr="0072143A" w:rsidRDefault="0072143A" w:rsidP="0072143A">
      <w:pPr>
        <w:jc w:val="both"/>
        <w:rPr>
          <w:rFonts w:ascii="Arial" w:hAnsi="Arial" w:cs="Arial"/>
          <w:iCs/>
          <w:sz w:val="20"/>
          <w:szCs w:val="20"/>
        </w:rPr>
      </w:pPr>
      <w:hyperlink r:id="rId19" w:history="1">
        <w:r w:rsidRPr="0072143A">
          <w:rPr>
            <w:rFonts w:ascii="Arial" w:hAnsi="Arial" w:cs="Arial"/>
            <w:iCs/>
            <w:color w:val="0000FF"/>
            <w:sz w:val="20"/>
            <w:szCs w:val="20"/>
            <w:u w:val="single"/>
          </w:rPr>
          <w:t>абзац четвертый пункта 5</w:t>
        </w:r>
      </w:hyperlink>
      <w:r w:rsidRPr="0072143A">
        <w:rPr>
          <w:rFonts w:ascii="Arial" w:hAnsi="Arial" w:cs="Arial"/>
          <w:iCs/>
          <w:sz w:val="20"/>
          <w:szCs w:val="20"/>
        </w:rPr>
        <w:t xml:space="preserve"> и </w:t>
      </w:r>
      <w:hyperlink r:id="rId20" w:history="1">
        <w:r w:rsidRPr="0072143A">
          <w:rPr>
            <w:rFonts w:ascii="Arial" w:hAnsi="Arial" w:cs="Arial"/>
            <w:iCs/>
            <w:color w:val="0000FF"/>
            <w:sz w:val="20"/>
            <w:szCs w:val="20"/>
            <w:u w:val="single"/>
          </w:rPr>
          <w:t>абзац четвертый пункта 8</w:t>
        </w:r>
      </w:hyperlink>
      <w:r w:rsidRPr="0072143A">
        <w:rPr>
          <w:rFonts w:ascii="Arial" w:hAnsi="Arial" w:cs="Arial"/>
          <w:iCs/>
          <w:sz w:val="20"/>
          <w:szCs w:val="20"/>
        </w:rPr>
        <w:t xml:space="preserve"> изложить в следующей редакции: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"в электронной форме через интерактивный сервис "Подтверждение статуса налогового резидента Российской Федерации" на официальном сайте ФНС России в информационно-телекоммуникационной сети "Интернет"; </w:t>
      </w:r>
    </w:p>
    <w:p w:rsidR="0072143A" w:rsidRPr="0072143A" w:rsidRDefault="0072143A" w:rsidP="0072143A">
      <w:pPr>
        <w:jc w:val="both"/>
        <w:rPr>
          <w:rFonts w:ascii="Arial" w:hAnsi="Arial" w:cs="Arial"/>
          <w:iCs/>
          <w:sz w:val="20"/>
          <w:szCs w:val="20"/>
        </w:rPr>
      </w:pPr>
      <w:hyperlink r:id="rId21" w:history="1">
        <w:r w:rsidRPr="0072143A">
          <w:rPr>
            <w:rFonts w:ascii="Arial" w:hAnsi="Arial" w:cs="Arial"/>
            <w:iCs/>
            <w:color w:val="0000FF"/>
            <w:sz w:val="20"/>
            <w:szCs w:val="20"/>
            <w:u w:val="single"/>
          </w:rPr>
          <w:t>пункт 6</w:t>
        </w:r>
      </w:hyperlink>
      <w:r w:rsidRPr="0072143A">
        <w:rPr>
          <w:rFonts w:ascii="Arial" w:hAnsi="Arial" w:cs="Arial"/>
          <w:iCs/>
          <w:sz w:val="20"/>
          <w:szCs w:val="20"/>
        </w:rPr>
        <w:t xml:space="preserve"> изложить в следующей редакции: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"6. В случае подачи Заявления в электронной форме через интерактивный сервис "Подтверждение статуса налогового резидента Российской Федерации" на официальном сайте ФНС России в информационно-телекоммуникационной сети "Интернет", срок рассмотрения Заявления составляет: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10 календарных дней в случае запроса выдачи подтверждения статуса налогового резидента для физического лица в электронной форме или на бумажном носителе либо для юридического лица на бумажном носителе;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1 календарный день в случае запроса выдачи подтверждения статуса налогового резидента для юридического лица в электронной форме.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В случае подачи Заявления лично или по почте срок рассмотрения Заявления составляет 20 календарных дней со дня его поступления в ФНС России или уполномоченный налоговый орган."; </w:t>
      </w:r>
    </w:p>
    <w:p w:rsidR="0072143A" w:rsidRPr="0072143A" w:rsidRDefault="0072143A" w:rsidP="0072143A">
      <w:pPr>
        <w:jc w:val="both"/>
        <w:rPr>
          <w:rFonts w:ascii="Arial" w:hAnsi="Arial" w:cs="Arial"/>
          <w:iCs/>
          <w:sz w:val="20"/>
          <w:szCs w:val="20"/>
        </w:rPr>
      </w:pPr>
      <w:hyperlink r:id="rId22" w:history="1">
        <w:r w:rsidRPr="0072143A">
          <w:rPr>
            <w:rFonts w:ascii="Arial" w:hAnsi="Arial" w:cs="Arial"/>
            <w:iCs/>
            <w:color w:val="0000FF"/>
            <w:sz w:val="20"/>
            <w:szCs w:val="20"/>
            <w:u w:val="single"/>
          </w:rPr>
          <w:t>пункт 9</w:t>
        </w:r>
      </w:hyperlink>
      <w:r w:rsidRPr="0072143A">
        <w:rPr>
          <w:rFonts w:ascii="Arial" w:hAnsi="Arial" w:cs="Arial"/>
          <w:iCs/>
          <w:sz w:val="20"/>
          <w:szCs w:val="20"/>
        </w:rPr>
        <w:t xml:space="preserve"> изложить в следующей редакции: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"9. Факт выдачи документа, в том числе на бумажном носителе, подтверждающего статус налогового резидента Российской Федерации, подтверждается путем ввода проверочного кода, содержащегося в документе, указанном в пункте 7 настоящего Порядка, через интерактивный сервис "Подтверждение статуса налогового резидента Российской Федерации" на официальном сайте ФНС России в информационно-телекоммуникационной сети "Интернет".</w:t>
      </w:r>
    </w:p>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sz w:val="20"/>
          <w:szCs w:val="20"/>
        </w:rPr>
      </w:pPr>
      <w:hyperlink r:id="rId23" w:tooltip="Ссылка на КонсультантПлюс" w:history="1">
        <w:r w:rsidRPr="0072143A">
          <w:rPr>
            <w:rFonts w:ascii="Arial" w:hAnsi="Arial" w:cs="Arial"/>
            <w:b/>
            <w:i/>
            <w:iCs/>
            <w:color w:val="0000FF"/>
            <w:sz w:val="20"/>
            <w:szCs w:val="20"/>
            <w:u w:val="single"/>
          </w:rPr>
          <w:t xml:space="preserve">Приказ ФНС России от 06.06.2025 N ЕД-7-26/508@ "О внесении изменений в приказ ФНС России от 15.07.2011 N ММВ-7-6/443@" </w:t>
        </w:r>
      </w:hyperlink>
    </w:p>
    <w:p w:rsid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С целью обеспечения возможности представления налоговой и бухгалтерской отчетности в электронной форме через официальный сайт Федеральной налоговой службы в сети Интернет приказываю:</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продлить период проведения пилотного проекта, установленный </w:t>
      </w:r>
      <w:hyperlink r:id="rId24" w:history="1">
        <w:r w:rsidRPr="0072143A">
          <w:rPr>
            <w:rFonts w:ascii="Arial" w:hAnsi="Arial" w:cs="Arial"/>
            <w:iCs/>
            <w:color w:val="0000FF"/>
            <w:sz w:val="20"/>
            <w:szCs w:val="20"/>
            <w:u w:val="single"/>
          </w:rPr>
          <w:t>пунктом 2</w:t>
        </w:r>
      </w:hyperlink>
      <w:r w:rsidRPr="0072143A">
        <w:rPr>
          <w:rFonts w:ascii="Arial" w:hAnsi="Arial" w:cs="Arial"/>
          <w:iCs/>
          <w:sz w:val="20"/>
          <w:szCs w:val="20"/>
        </w:rPr>
        <w:t xml:space="preserve"> приказа ФНС России от 15.07.2011 N ММВ-7-6/443@ "О проведении пилотного проекта по организации услуги представления налоговой и бухгалтерской отчетности в электронном виде на официальном сайте Федеральной налоговой службы в сети Интернет" &lt;…&gt; до 01.07.2026. </w:t>
      </w:r>
    </w:p>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sz w:val="20"/>
          <w:szCs w:val="20"/>
        </w:rPr>
      </w:pPr>
      <w:hyperlink r:id="rId25" w:tooltip="Ссылка на КонсультантПлюс" w:history="1">
        <w:r w:rsidRPr="0072143A">
          <w:rPr>
            <w:rFonts w:ascii="Arial" w:hAnsi="Arial" w:cs="Arial"/>
            <w:b/>
            <w:i/>
            <w:iCs/>
            <w:color w:val="0000FF"/>
            <w:sz w:val="20"/>
            <w:szCs w:val="20"/>
            <w:u w:val="single"/>
          </w:rPr>
          <w:t xml:space="preserve">Приказ ФНС России от 15.07.2011 N ММВ-7-6/443@ (ред. от 08.06.2021, с изм. от 05.06.2024) "О проведении пилотного проекта по организации услуги представления налоговой и бухгалтерской отчетности в электронном виде на официальном сайте Федеральной налоговой службы в сети Интернет" (вместе с "Планом мероприятий по организации и проведению пилотного проекта по эксплуатации программного обеспечения, обеспечивающего представление налоговой и бухгалтерской отчетности в электронном виде через Интернет-сайт ФНС России", "Порядком представления налоговой и бухгалтерской отчетности в электронном виде через Интернет-сайт ФНС России") </w:t>
        </w:r>
      </w:hyperlink>
    </w:p>
    <w:p w:rsidR="0072143A" w:rsidRDefault="0072143A"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r w:rsidRPr="0072143A">
        <w:rPr>
          <w:rFonts w:ascii="Arial" w:hAnsi="Arial" w:cs="Arial"/>
          <w:iCs/>
          <w:sz w:val="20"/>
          <w:szCs w:val="20"/>
        </w:rPr>
        <w:t xml:space="preserve">1.7. Настоящий Интернет-сервис позволяет направлять в налоговые органы в электронном виде по ТКС налоговую и бухгалтерскую отчетность, за исключением налоговой декларации по налогу на добавленную стоимость, согласно </w:t>
      </w:r>
      <w:hyperlink r:id="rId26" w:history="1">
        <w:r w:rsidRPr="0072143A">
          <w:rPr>
            <w:rFonts w:ascii="Arial" w:hAnsi="Arial" w:cs="Arial"/>
            <w:iCs/>
            <w:color w:val="0000FF"/>
            <w:sz w:val="20"/>
            <w:szCs w:val="20"/>
            <w:u w:val="single"/>
          </w:rPr>
          <w:t>пункту 5 статьи 174</w:t>
        </w:r>
      </w:hyperlink>
      <w:r w:rsidRPr="0072143A">
        <w:rPr>
          <w:rFonts w:ascii="Arial" w:hAnsi="Arial" w:cs="Arial"/>
          <w:iCs/>
          <w:sz w:val="20"/>
          <w:szCs w:val="20"/>
        </w:rPr>
        <w:t xml:space="preserve"> Налогового кодекса Российской Федерации (в редакции Федерального закона от 28.06.2013 N 134-ФЗ "О внесении изменений в отдельные законодательные акты Российской Федерации в части противодействия незаконным финансовым операциям").</w:t>
      </w:r>
    </w:p>
    <w:p w:rsidR="0072143A" w:rsidRDefault="0072143A"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iCs/>
          <w:color w:val="0000FF"/>
          <w:sz w:val="20"/>
          <w:szCs w:val="20"/>
          <w:u w:val="single"/>
        </w:rPr>
      </w:pPr>
      <w:hyperlink r:id="rId27" w:tooltip="Ссылка на КонсультантПлюс" w:history="1">
        <w:r w:rsidRPr="0072143A">
          <w:rPr>
            <w:rFonts w:ascii="Arial" w:hAnsi="Arial" w:cs="Arial"/>
            <w:b/>
            <w:i/>
            <w:iCs/>
            <w:color w:val="0000FF"/>
            <w:sz w:val="20"/>
            <w:szCs w:val="20"/>
            <w:u w:val="single"/>
          </w:rPr>
          <w:t xml:space="preserve">Приказ ФНС России от 30.05.2007 N ММ-3-06/333@ "Об утверждении Концепции системы планирования выездных налоговых проверок" </w:t>
        </w:r>
      </w:hyperlink>
    </w:p>
    <w:p w:rsidR="0072143A" w:rsidRPr="0072143A" w:rsidRDefault="0072143A" w:rsidP="0072143A">
      <w:pPr>
        <w:jc w:val="right"/>
        <w:rPr>
          <w:rFonts w:ascii="Arial" w:hAnsi="Arial" w:cs="Arial"/>
          <w:iCs/>
          <w:sz w:val="20"/>
          <w:szCs w:val="20"/>
        </w:rPr>
      </w:pPr>
      <w:r w:rsidRPr="0072143A">
        <w:rPr>
          <w:rFonts w:ascii="Arial" w:hAnsi="Arial" w:cs="Arial"/>
          <w:iCs/>
          <w:sz w:val="20"/>
          <w:szCs w:val="20"/>
        </w:rPr>
        <w:t xml:space="preserve"> Приложение N 3</w:t>
      </w:r>
    </w:p>
    <w:p w:rsidR="0072143A" w:rsidRPr="0072143A" w:rsidRDefault="0072143A" w:rsidP="0072143A">
      <w:pPr>
        <w:jc w:val="right"/>
        <w:rPr>
          <w:rFonts w:ascii="Arial" w:hAnsi="Arial" w:cs="Arial"/>
          <w:iCs/>
          <w:sz w:val="20"/>
          <w:szCs w:val="20"/>
        </w:rPr>
      </w:pPr>
      <w:r w:rsidRPr="0072143A">
        <w:rPr>
          <w:rFonts w:ascii="Arial" w:hAnsi="Arial" w:cs="Arial"/>
          <w:iCs/>
          <w:sz w:val="20"/>
          <w:szCs w:val="20"/>
        </w:rPr>
        <w:t xml:space="preserve">к Приказу ФНС России </w:t>
      </w:r>
    </w:p>
    <w:p w:rsidR="0072143A" w:rsidRPr="0072143A" w:rsidRDefault="0072143A" w:rsidP="0072143A">
      <w:pPr>
        <w:jc w:val="right"/>
        <w:rPr>
          <w:rFonts w:ascii="Arial" w:hAnsi="Arial" w:cs="Arial"/>
          <w:iCs/>
          <w:sz w:val="20"/>
          <w:szCs w:val="20"/>
        </w:rPr>
      </w:pPr>
      <w:r w:rsidRPr="0072143A">
        <w:rPr>
          <w:rFonts w:ascii="Arial" w:hAnsi="Arial" w:cs="Arial"/>
          <w:iCs/>
          <w:sz w:val="20"/>
          <w:szCs w:val="20"/>
        </w:rPr>
        <w:t xml:space="preserve">от 30.05.2007 N ММ-3-06/333@ </w:t>
      </w:r>
    </w:p>
    <w:p w:rsidR="0072143A" w:rsidRPr="0072143A" w:rsidRDefault="0072143A" w:rsidP="0072143A">
      <w:pPr>
        <w:jc w:val="right"/>
        <w:rPr>
          <w:rFonts w:ascii="Arial" w:hAnsi="Arial" w:cs="Arial"/>
          <w:iCs/>
          <w:sz w:val="20"/>
          <w:szCs w:val="20"/>
        </w:rPr>
      </w:pPr>
      <w:r w:rsidRPr="0072143A">
        <w:rPr>
          <w:rFonts w:ascii="Arial" w:hAnsi="Arial" w:cs="Arial"/>
          <w:iCs/>
          <w:sz w:val="20"/>
          <w:szCs w:val="20"/>
        </w:rPr>
        <w:t xml:space="preserve">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10888"/>
      </w:tblGrid>
      <w:tr w:rsidR="0072143A" w:rsidRPr="0072143A" w:rsidTr="0072143A">
        <w:trPr>
          <w:tblCellSpacing w:w="15" w:type="dxa"/>
        </w:trPr>
        <w:tc>
          <w:tcPr>
            <w:tcW w:w="0" w:type="auto"/>
            <w:shd w:val="clear" w:color="auto" w:fill="F4F3F8"/>
            <w:vAlign w:val="center"/>
            <w:hideMark/>
          </w:tcPr>
          <w:p w:rsidR="0072143A" w:rsidRPr="0072143A" w:rsidRDefault="0072143A" w:rsidP="0072143A">
            <w:pPr>
              <w:rPr>
                <w:rFonts w:ascii="Arial" w:hAnsi="Arial" w:cs="Arial"/>
                <w:i/>
                <w:color w:val="392C69"/>
                <w:sz w:val="20"/>
                <w:szCs w:val="20"/>
              </w:rPr>
            </w:pPr>
            <w:r w:rsidRPr="0072143A">
              <w:rPr>
                <w:rFonts w:ascii="Arial" w:hAnsi="Arial" w:cs="Arial"/>
                <w:i/>
                <w:color w:val="392C69"/>
                <w:sz w:val="20"/>
                <w:szCs w:val="20"/>
              </w:rPr>
              <w:t xml:space="preserve">КонсультантПлюс: примечание. </w:t>
            </w:r>
          </w:p>
          <w:p w:rsidR="0072143A" w:rsidRPr="0072143A" w:rsidRDefault="0072143A" w:rsidP="0072143A">
            <w:pPr>
              <w:rPr>
                <w:rFonts w:ascii="Arial" w:hAnsi="Arial" w:cs="Arial"/>
                <w:i/>
                <w:color w:val="392C69"/>
                <w:sz w:val="20"/>
                <w:szCs w:val="20"/>
              </w:rPr>
            </w:pPr>
            <w:r w:rsidRPr="0072143A">
              <w:rPr>
                <w:rFonts w:ascii="Arial" w:hAnsi="Arial" w:cs="Arial"/>
                <w:i/>
                <w:color w:val="392C69"/>
                <w:sz w:val="20"/>
                <w:szCs w:val="20"/>
              </w:rPr>
              <w:t xml:space="preserve">Текст приложения N 3 приведен в соответствии с публикацией на сайте ФНС России </w:t>
            </w:r>
            <w:hyperlink r:id="rId28" w:tgtFrame="_blank" w:tooltip="&lt;div class=&quot;doc www&quot;&gt;&lt;span class=&quot;aligner&quot;&gt;&lt;div class=&quot;icon listDocWWW-16&quot;&gt;&lt;/div&gt;&lt;/span&gt;https://www.nalog.gov.ru/rn77/taxation/reference_work/conception_vnp/&lt;/div&gt;" w:history="1">
              <w:r w:rsidRPr="0072143A">
                <w:rPr>
                  <w:rFonts w:ascii="Arial" w:hAnsi="Arial" w:cs="Arial"/>
                  <w:i/>
                  <w:color w:val="0000FF"/>
                  <w:sz w:val="20"/>
                  <w:szCs w:val="20"/>
                  <w:u w:val="single"/>
                </w:rPr>
                <w:t>https://www.nalog.gov.ru/rn77/taxation/reference_work/conception_vnp/</w:t>
              </w:r>
            </w:hyperlink>
            <w:r w:rsidRPr="0072143A">
              <w:rPr>
                <w:rFonts w:ascii="Arial" w:hAnsi="Arial" w:cs="Arial"/>
                <w:i/>
                <w:color w:val="392C69"/>
                <w:sz w:val="20"/>
                <w:szCs w:val="20"/>
              </w:rPr>
              <w:t xml:space="preserve"> по состоянию на 05.05.2025. </w:t>
            </w:r>
          </w:p>
        </w:tc>
      </w:tr>
    </w:tbl>
    <w:p w:rsidR="0072143A" w:rsidRDefault="0072143A" w:rsidP="0072143A">
      <w:pPr>
        <w:jc w:val="center"/>
        <w:rPr>
          <w:rFonts w:ascii="Arial" w:hAnsi="Arial" w:cs="Arial"/>
          <w:iCs/>
          <w:sz w:val="20"/>
          <w:szCs w:val="20"/>
        </w:rPr>
      </w:pPr>
    </w:p>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Налоговая нагрузка по видам экономической деятельности </w:t>
      </w:r>
    </w:p>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в 2024 году </w:t>
      </w:r>
      <w:hyperlink r:id="rId29" w:history="1">
        <w:r w:rsidRPr="0072143A">
          <w:rPr>
            <w:rFonts w:ascii="Arial" w:hAnsi="Arial" w:cs="Arial"/>
            <w:iCs/>
            <w:color w:val="0000FF"/>
            <w:sz w:val="20"/>
            <w:szCs w:val="20"/>
            <w:u w:val="single"/>
          </w:rPr>
          <w:t>&lt;*&gt;</w:t>
        </w:r>
      </w:hyperlink>
      <w:r w:rsidRPr="0072143A">
        <w:rPr>
          <w:rFonts w:ascii="Arial" w:hAnsi="Arial" w:cs="Arial"/>
          <w:iCs/>
          <w:sz w:val="20"/>
          <w:szCs w:val="20"/>
        </w:rPr>
        <w:t xml:space="preserve">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  </w:t>
      </w:r>
    </w:p>
    <w:p w:rsidR="0072143A" w:rsidRPr="0072143A" w:rsidRDefault="0072143A" w:rsidP="0072143A">
      <w:pPr>
        <w:jc w:val="center"/>
        <w:rPr>
          <w:rFonts w:ascii="Arial" w:hAnsi="Arial" w:cs="Arial"/>
          <w:iCs/>
          <w:sz w:val="20"/>
          <w:szCs w:val="20"/>
        </w:rPr>
      </w:pPr>
      <w:proofErr w:type="spellStart"/>
      <w:r w:rsidRPr="0072143A">
        <w:rPr>
          <w:rFonts w:ascii="Arial" w:hAnsi="Arial" w:cs="Arial"/>
          <w:iCs/>
          <w:sz w:val="20"/>
          <w:szCs w:val="20"/>
        </w:rPr>
        <w:t>Справочно</w:t>
      </w:r>
      <w:proofErr w:type="spellEnd"/>
      <w:r w:rsidRPr="0072143A">
        <w:rPr>
          <w:rFonts w:ascii="Arial" w:hAnsi="Arial" w:cs="Arial"/>
          <w:iCs/>
          <w:sz w:val="20"/>
          <w:szCs w:val="20"/>
        </w:rPr>
        <w:t xml:space="preserve">: </w:t>
      </w:r>
    </w:p>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Налоговая нагрузка рассчитана как отношение суммы налогов </w:t>
      </w:r>
    </w:p>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и сборов по данным официальной статистической отчетности </w:t>
      </w:r>
    </w:p>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ФНС России к обороту организаций по данным Росстата, </w:t>
      </w:r>
    </w:p>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умноженное на 100%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  </w:t>
      </w:r>
    </w:p>
    <w:tbl>
      <w:tblPr>
        <w:tblW w:w="9075" w:type="dxa"/>
        <w:tblInd w:w="15" w:type="dxa"/>
        <w:tblCellMar>
          <w:left w:w="0" w:type="dxa"/>
          <w:right w:w="0" w:type="dxa"/>
        </w:tblCellMar>
        <w:tblLook w:val="04A0" w:firstRow="1" w:lastRow="0" w:firstColumn="1" w:lastColumn="0" w:noHBand="0" w:noVBand="1"/>
      </w:tblPr>
      <w:tblGrid>
        <w:gridCol w:w="4054"/>
        <w:gridCol w:w="1824"/>
        <w:gridCol w:w="3197"/>
      </w:tblGrid>
      <w:tr w:rsidR="0072143A" w:rsidRPr="0072143A" w:rsidTr="0072143A">
        <w:tc>
          <w:tcPr>
            <w:tcW w:w="0" w:type="auto"/>
            <w:vMerge w:val="restart"/>
            <w:tcBorders>
              <w:top w:val="single" w:sz="6" w:space="0" w:color="000000"/>
              <w:left w:val="single" w:sz="6" w:space="0" w:color="000000"/>
              <w:bottom w:val="single" w:sz="6" w:space="0" w:color="000000"/>
              <w:right w:val="single" w:sz="6" w:space="0" w:color="000000"/>
            </w:tcBorders>
            <w:hideMark/>
          </w:tcPr>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Вид экономической деятельности (согласно </w:t>
            </w:r>
            <w:hyperlink r:id="rId30" w:history="1">
              <w:r w:rsidRPr="0072143A">
                <w:rPr>
                  <w:rFonts w:ascii="Arial" w:hAnsi="Arial" w:cs="Arial"/>
                  <w:iCs/>
                  <w:color w:val="0000FF"/>
                  <w:sz w:val="20"/>
                  <w:szCs w:val="20"/>
                  <w:u w:val="single"/>
                </w:rPr>
                <w:t>ОКВЭД-2</w:t>
              </w:r>
            </w:hyperlink>
            <w:r w:rsidRPr="0072143A">
              <w:rPr>
                <w:rFonts w:ascii="Arial" w:hAnsi="Arial" w:cs="Arial"/>
                <w:iCs/>
                <w:sz w:val="20"/>
                <w:szCs w:val="20"/>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2024 год </w:t>
            </w:r>
          </w:p>
        </w:tc>
      </w:tr>
      <w:tr w:rsidR="0072143A" w:rsidRPr="0072143A" w:rsidTr="0072143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43A" w:rsidRPr="0072143A" w:rsidRDefault="0072143A" w:rsidP="0072143A">
            <w:pPr>
              <w:rPr>
                <w:rFonts w:ascii="Arial" w:eastAsia="Calibri" w:hAnsi="Arial" w:cs="Arial"/>
                <w:i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hideMark/>
          </w:tcPr>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Налоговая нагрузка, % </w:t>
            </w:r>
          </w:p>
        </w:tc>
        <w:tc>
          <w:tcPr>
            <w:tcW w:w="0" w:type="auto"/>
            <w:tcBorders>
              <w:top w:val="single" w:sz="6" w:space="0" w:color="000000"/>
              <w:left w:val="single" w:sz="6" w:space="0" w:color="000000"/>
              <w:bottom w:val="single" w:sz="6" w:space="0" w:color="000000"/>
              <w:right w:val="single" w:sz="6" w:space="0" w:color="000000"/>
            </w:tcBorders>
            <w:hideMark/>
          </w:tcPr>
          <w:p w:rsidR="0072143A" w:rsidRPr="0072143A" w:rsidRDefault="0072143A" w:rsidP="0072143A">
            <w:pPr>
              <w:jc w:val="center"/>
              <w:rPr>
                <w:rFonts w:ascii="Arial" w:hAnsi="Arial" w:cs="Arial"/>
                <w:iCs/>
                <w:sz w:val="20"/>
                <w:szCs w:val="20"/>
              </w:rPr>
            </w:pPr>
            <w:proofErr w:type="spellStart"/>
            <w:r w:rsidRPr="0072143A">
              <w:rPr>
                <w:rFonts w:ascii="Arial" w:hAnsi="Arial" w:cs="Arial"/>
                <w:iCs/>
                <w:sz w:val="20"/>
                <w:szCs w:val="20"/>
              </w:rPr>
              <w:t>Справочно</w:t>
            </w:r>
            <w:proofErr w:type="spellEnd"/>
            <w:r w:rsidRPr="0072143A">
              <w:rPr>
                <w:rFonts w:ascii="Arial" w:hAnsi="Arial" w:cs="Arial"/>
                <w:iCs/>
                <w:sz w:val="20"/>
                <w:szCs w:val="20"/>
              </w:rPr>
              <w:t xml:space="preserve">: фискальная нагрузка по СВ, % </w:t>
            </w:r>
          </w:p>
        </w:tc>
      </w:tr>
    </w:tbl>
    <w:p w:rsidR="0072143A" w:rsidRPr="0072143A" w:rsidRDefault="0072143A" w:rsidP="0072143A">
      <w:pPr>
        <w:jc w:val="both"/>
        <w:rPr>
          <w:rFonts w:ascii="Arial" w:hAnsi="Arial" w:cs="Arial"/>
          <w:iCs/>
          <w:sz w:val="20"/>
          <w:szCs w:val="20"/>
        </w:rPr>
      </w:pPr>
      <w:r w:rsidRPr="0072143A">
        <w:rPr>
          <w:rFonts w:ascii="Arial" w:hAnsi="Arial" w:cs="Arial"/>
          <w:iCs/>
          <w:sz w:val="20"/>
          <w:szCs w:val="20"/>
        </w:rPr>
        <w:t>&lt;…&gt;</w:t>
      </w:r>
    </w:p>
    <w:p w:rsidR="0072143A" w:rsidRPr="0072143A" w:rsidRDefault="0072143A" w:rsidP="0072143A">
      <w:pPr>
        <w:jc w:val="right"/>
        <w:rPr>
          <w:rFonts w:ascii="Arial" w:hAnsi="Arial" w:cs="Arial"/>
          <w:iCs/>
          <w:sz w:val="20"/>
          <w:szCs w:val="20"/>
        </w:rPr>
      </w:pPr>
      <w:r w:rsidRPr="0072143A">
        <w:rPr>
          <w:rFonts w:ascii="Arial" w:hAnsi="Arial" w:cs="Arial"/>
          <w:iCs/>
          <w:sz w:val="20"/>
          <w:szCs w:val="20"/>
        </w:rPr>
        <w:t>Приложение N 4</w:t>
      </w:r>
    </w:p>
    <w:p w:rsidR="0072143A" w:rsidRPr="0072143A" w:rsidRDefault="0072143A" w:rsidP="0072143A">
      <w:pPr>
        <w:jc w:val="right"/>
        <w:rPr>
          <w:rFonts w:ascii="Arial" w:hAnsi="Arial" w:cs="Arial"/>
          <w:iCs/>
          <w:sz w:val="20"/>
          <w:szCs w:val="20"/>
        </w:rPr>
      </w:pPr>
      <w:r w:rsidRPr="0072143A">
        <w:rPr>
          <w:rFonts w:ascii="Arial" w:hAnsi="Arial" w:cs="Arial"/>
          <w:iCs/>
          <w:sz w:val="20"/>
          <w:szCs w:val="20"/>
        </w:rPr>
        <w:t xml:space="preserve">к Приказу ФНС России </w:t>
      </w:r>
    </w:p>
    <w:p w:rsidR="0072143A" w:rsidRPr="0072143A" w:rsidRDefault="0072143A" w:rsidP="0072143A">
      <w:pPr>
        <w:jc w:val="right"/>
        <w:rPr>
          <w:rFonts w:ascii="Arial" w:hAnsi="Arial" w:cs="Arial"/>
          <w:iCs/>
          <w:sz w:val="20"/>
          <w:szCs w:val="20"/>
        </w:rPr>
      </w:pPr>
      <w:r w:rsidRPr="0072143A">
        <w:rPr>
          <w:rFonts w:ascii="Arial" w:hAnsi="Arial" w:cs="Arial"/>
          <w:iCs/>
          <w:sz w:val="20"/>
          <w:szCs w:val="20"/>
        </w:rPr>
        <w:t xml:space="preserve">от 30.05.2007 N ММ-3-06/333@ </w:t>
      </w:r>
    </w:p>
    <w:p w:rsidR="0072143A" w:rsidRPr="0072143A" w:rsidRDefault="0072143A" w:rsidP="0072143A">
      <w:pPr>
        <w:jc w:val="both"/>
        <w:rPr>
          <w:rFonts w:ascii="Arial" w:hAnsi="Arial" w:cs="Arial"/>
          <w:i/>
          <w:sz w:val="20"/>
          <w:szCs w:val="20"/>
        </w:rPr>
      </w:pPr>
      <w:r w:rsidRPr="0072143A">
        <w:rPr>
          <w:rFonts w:ascii="Arial" w:hAnsi="Arial" w:cs="Arial"/>
          <w:i/>
          <w:sz w:val="20"/>
          <w:szCs w:val="20"/>
        </w:rPr>
        <w:t xml:space="preserve">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10888"/>
      </w:tblGrid>
      <w:tr w:rsidR="0072143A" w:rsidRPr="0072143A" w:rsidTr="0072143A">
        <w:trPr>
          <w:tblCellSpacing w:w="15" w:type="dxa"/>
        </w:trPr>
        <w:tc>
          <w:tcPr>
            <w:tcW w:w="0" w:type="auto"/>
            <w:shd w:val="clear" w:color="auto" w:fill="F4F3F8"/>
            <w:vAlign w:val="center"/>
            <w:hideMark/>
          </w:tcPr>
          <w:p w:rsidR="0072143A" w:rsidRPr="0072143A" w:rsidRDefault="0072143A" w:rsidP="0072143A">
            <w:pPr>
              <w:rPr>
                <w:rFonts w:ascii="Arial" w:hAnsi="Arial" w:cs="Arial"/>
                <w:i/>
                <w:color w:val="392C69"/>
                <w:sz w:val="20"/>
                <w:szCs w:val="20"/>
              </w:rPr>
            </w:pPr>
            <w:r w:rsidRPr="0072143A">
              <w:rPr>
                <w:rFonts w:ascii="Arial" w:hAnsi="Arial" w:cs="Arial"/>
                <w:i/>
                <w:color w:val="392C69"/>
                <w:sz w:val="20"/>
                <w:szCs w:val="20"/>
              </w:rPr>
              <w:t xml:space="preserve">КонсультантПлюс: примечание. </w:t>
            </w:r>
          </w:p>
          <w:p w:rsidR="0072143A" w:rsidRPr="0072143A" w:rsidRDefault="0072143A" w:rsidP="0072143A">
            <w:pPr>
              <w:rPr>
                <w:rFonts w:ascii="Arial" w:hAnsi="Arial" w:cs="Arial"/>
                <w:i/>
                <w:color w:val="392C69"/>
                <w:sz w:val="20"/>
                <w:szCs w:val="20"/>
              </w:rPr>
            </w:pPr>
            <w:r w:rsidRPr="0072143A">
              <w:rPr>
                <w:rFonts w:ascii="Arial" w:hAnsi="Arial" w:cs="Arial"/>
                <w:i/>
                <w:color w:val="392C69"/>
                <w:sz w:val="20"/>
                <w:szCs w:val="20"/>
              </w:rPr>
              <w:t xml:space="preserve">Текст приложения N 4 приведен в соответствии с публикацией на сайте ФНС России </w:t>
            </w:r>
            <w:hyperlink r:id="rId31" w:tgtFrame="_blank" w:tooltip="&lt;div class=&quot;doc www&quot;&gt;&lt;span class=&quot;aligner&quot;&gt;&lt;div class=&quot;icon listDocWWW-16&quot;&gt;&lt;/div&gt;&lt;/span&gt;https://www.nalog.gov.ru/rn77/taxation/reference_work/conception_vnp/&lt;/div&gt;" w:history="1">
              <w:r w:rsidRPr="0072143A">
                <w:rPr>
                  <w:rFonts w:ascii="Arial" w:hAnsi="Arial" w:cs="Arial"/>
                  <w:i/>
                  <w:color w:val="0000FF"/>
                  <w:sz w:val="20"/>
                  <w:szCs w:val="20"/>
                  <w:u w:val="single"/>
                </w:rPr>
                <w:t>https://www.nalog.gov.ru/rn77/taxation/reference_work/conception_vnp/</w:t>
              </w:r>
            </w:hyperlink>
            <w:r w:rsidRPr="0072143A">
              <w:rPr>
                <w:rFonts w:ascii="Arial" w:hAnsi="Arial" w:cs="Arial"/>
                <w:i/>
                <w:color w:val="392C69"/>
                <w:sz w:val="20"/>
                <w:szCs w:val="20"/>
              </w:rPr>
              <w:t xml:space="preserve"> по состоянию на 05.05.2025. </w:t>
            </w:r>
          </w:p>
        </w:tc>
      </w:tr>
    </w:tbl>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Рентабельность проданных товаров, продукции, работ, услуг </w:t>
      </w:r>
    </w:p>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и рентабельность активов организаций по видам экономической </w:t>
      </w:r>
    </w:p>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деятельности, в процентах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  </w:t>
      </w:r>
    </w:p>
    <w:tbl>
      <w:tblPr>
        <w:tblW w:w="9075" w:type="dxa"/>
        <w:tblInd w:w="15" w:type="dxa"/>
        <w:tblCellMar>
          <w:left w:w="0" w:type="dxa"/>
          <w:right w:w="0" w:type="dxa"/>
        </w:tblCellMar>
        <w:tblLook w:val="04A0" w:firstRow="1" w:lastRow="0" w:firstColumn="1" w:lastColumn="0" w:noHBand="0" w:noVBand="1"/>
      </w:tblPr>
      <w:tblGrid>
        <w:gridCol w:w="3082"/>
        <w:gridCol w:w="3772"/>
        <w:gridCol w:w="2221"/>
      </w:tblGrid>
      <w:tr w:rsidR="0072143A" w:rsidRPr="0072143A" w:rsidTr="0072143A">
        <w:tc>
          <w:tcPr>
            <w:tcW w:w="0" w:type="auto"/>
            <w:vMerge w:val="restart"/>
            <w:tcBorders>
              <w:top w:val="single" w:sz="6" w:space="0" w:color="000000"/>
              <w:left w:val="single" w:sz="6" w:space="0" w:color="000000"/>
              <w:bottom w:val="single" w:sz="6" w:space="0" w:color="000000"/>
              <w:right w:val="single" w:sz="6" w:space="0" w:color="000000"/>
            </w:tcBorders>
            <w:hideMark/>
          </w:tcPr>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Вид экономической деятельности (согласно </w:t>
            </w:r>
            <w:hyperlink r:id="rId32" w:history="1">
              <w:r w:rsidRPr="0072143A">
                <w:rPr>
                  <w:rFonts w:ascii="Arial" w:hAnsi="Arial" w:cs="Arial"/>
                  <w:iCs/>
                  <w:color w:val="0000FF"/>
                  <w:sz w:val="20"/>
                  <w:szCs w:val="20"/>
                  <w:u w:val="single"/>
                </w:rPr>
                <w:t>ОКВЭД-2</w:t>
              </w:r>
            </w:hyperlink>
            <w:r w:rsidRPr="0072143A">
              <w:rPr>
                <w:rFonts w:ascii="Arial" w:hAnsi="Arial" w:cs="Arial"/>
                <w:iCs/>
                <w:sz w:val="20"/>
                <w:szCs w:val="20"/>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2024 год </w:t>
            </w:r>
          </w:p>
        </w:tc>
      </w:tr>
      <w:tr w:rsidR="0072143A" w:rsidRPr="0072143A" w:rsidTr="0072143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43A" w:rsidRPr="0072143A" w:rsidRDefault="0072143A" w:rsidP="0072143A">
            <w:pPr>
              <w:rPr>
                <w:rFonts w:ascii="Arial" w:eastAsia="Calibri" w:hAnsi="Arial" w:cs="Arial"/>
                <w:iCs/>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hideMark/>
          </w:tcPr>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Рентабельность проданных товаров, продукции (работ, услуг), % </w:t>
            </w:r>
            <w:hyperlink r:id="rId33" w:history="1">
              <w:r w:rsidRPr="0072143A">
                <w:rPr>
                  <w:rFonts w:ascii="Arial" w:hAnsi="Arial" w:cs="Arial"/>
                  <w:iCs/>
                  <w:color w:val="0000FF"/>
                  <w:sz w:val="20"/>
                  <w:szCs w:val="20"/>
                  <w:u w:val="single"/>
                </w:rPr>
                <w:t>&lt;*&gt;</w:t>
              </w:r>
            </w:hyperlink>
            <w:r w:rsidRPr="0072143A">
              <w:rPr>
                <w:rFonts w:ascii="Arial" w:hAnsi="Arial" w:cs="Arial"/>
                <w:i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143A" w:rsidRPr="0072143A" w:rsidRDefault="0072143A" w:rsidP="0072143A">
            <w:pPr>
              <w:jc w:val="center"/>
              <w:rPr>
                <w:rFonts w:ascii="Arial" w:hAnsi="Arial" w:cs="Arial"/>
                <w:iCs/>
                <w:sz w:val="20"/>
                <w:szCs w:val="20"/>
              </w:rPr>
            </w:pPr>
            <w:r w:rsidRPr="0072143A">
              <w:rPr>
                <w:rFonts w:ascii="Arial" w:hAnsi="Arial" w:cs="Arial"/>
                <w:iCs/>
                <w:sz w:val="20"/>
                <w:szCs w:val="20"/>
              </w:rPr>
              <w:t xml:space="preserve">Рентабельность активов, % </w:t>
            </w:r>
            <w:hyperlink r:id="rId34" w:history="1">
              <w:r w:rsidRPr="0072143A">
                <w:rPr>
                  <w:rFonts w:ascii="Arial" w:hAnsi="Arial" w:cs="Arial"/>
                  <w:iCs/>
                  <w:color w:val="0000FF"/>
                  <w:sz w:val="20"/>
                  <w:szCs w:val="20"/>
                  <w:u w:val="single"/>
                </w:rPr>
                <w:t>&lt;**&gt;</w:t>
              </w:r>
            </w:hyperlink>
            <w:r w:rsidRPr="0072143A">
              <w:rPr>
                <w:rFonts w:ascii="Arial" w:hAnsi="Arial" w:cs="Arial"/>
                <w:iCs/>
                <w:sz w:val="20"/>
                <w:szCs w:val="20"/>
              </w:rPr>
              <w:t xml:space="preserve"> </w:t>
            </w:r>
          </w:p>
        </w:tc>
      </w:tr>
    </w:tbl>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iCs/>
          <w:color w:val="0000FF"/>
          <w:sz w:val="20"/>
          <w:szCs w:val="20"/>
          <w:u w:val="single"/>
        </w:rPr>
      </w:pPr>
      <w:hyperlink r:id="rId35" w:tooltip="Ссылка на КонсультантПлюс" w:history="1">
        <w:r w:rsidRPr="0072143A">
          <w:rPr>
            <w:rFonts w:ascii="Arial" w:hAnsi="Arial" w:cs="Arial"/>
            <w:b/>
            <w:i/>
            <w:iCs/>
            <w:color w:val="0000FF"/>
            <w:sz w:val="20"/>
            <w:szCs w:val="20"/>
            <w:u w:val="single"/>
          </w:rPr>
          <w:t>Постановление Арбитра</w:t>
        </w:r>
        <w:r w:rsidRPr="0072143A">
          <w:rPr>
            <w:rFonts w:ascii="Arial" w:hAnsi="Arial" w:cs="Arial"/>
            <w:b/>
            <w:i/>
            <w:iCs/>
            <w:color w:val="0000FF"/>
            <w:sz w:val="20"/>
            <w:szCs w:val="20"/>
            <w:u w:val="single"/>
          </w:rPr>
          <w:t>ж</w:t>
        </w:r>
        <w:r w:rsidRPr="0072143A">
          <w:rPr>
            <w:rFonts w:ascii="Arial" w:hAnsi="Arial" w:cs="Arial"/>
            <w:b/>
            <w:i/>
            <w:iCs/>
            <w:color w:val="0000FF"/>
            <w:sz w:val="20"/>
            <w:szCs w:val="20"/>
            <w:u w:val="single"/>
          </w:rPr>
          <w:t>ного суда Поволжско</w:t>
        </w:r>
        <w:r w:rsidRPr="0072143A">
          <w:rPr>
            <w:rFonts w:ascii="Arial" w:hAnsi="Arial" w:cs="Arial"/>
            <w:b/>
            <w:i/>
            <w:iCs/>
            <w:color w:val="0000FF"/>
            <w:sz w:val="20"/>
            <w:szCs w:val="20"/>
            <w:u w:val="single"/>
          </w:rPr>
          <w:t>г</w:t>
        </w:r>
        <w:r w:rsidRPr="0072143A">
          <w:rPr>
            <w:rFonts w:ascii="Arial" w:hAnsi="Arial" w:cs="Arial"/>
            <w:b/>
            <w:i/>
            <w:iCs/>
            <w:color w:val="0000FF"/>
            <w:sz w:val="20"/>
            <w:szCs w:val="20"/>
            <w:u w:val="single"/>
          </w:rPr>
          <w:t>о округа от 25.0</w:t>
        </w:r>
        <w:r w:rsidRPr="0072143A">
          <w:rPr>
            <w:rFonts w:ascii="Arial" w:hAnsi="Arial" w:cs="Arial"/>
            <w:b/>
            <w:i/>
            <w:iCs/>
            <w:color w:val="0000FF"/>
            <w:sz w:val="20"/>
            <w:szCs w:val="20"/>
            <w:u w:val="single"/>
          </w:rPr>
          <w:t>3</w:t>
        </w:r>
        <w:r w:rsidRPr="0072143A">
          <w:rPr>
            <w:rFonts w:ascii="Arial" w:hAnsi="Arial" w:cs="Arial"/>
            <w:b/>
            <w:i/>
            <w:iCs/>
            <w:color w:val="0000FF"/>
            <w:sz w:val="20"/>
            <w:szCs w:val="20"/>
            <w:u w:val="single"/>
          </w:rPr>
          <w:t>.2025 N Ф06-152/2025 по делу N А55-3</w:t>
        </w:r>
        <w:r w:rsidRPr="0072143A">
          <w:rPr>
            <w:rFonts w:ascii="Arial" w:hAnsi="Arial" w:cs="Arial"/>
            <w:b/>
            <w:i/>
            <w:iCs/>
            <w:color w:val="0000FF"/>
            <w:sz w:val="20"/>
            <w:szCs w:val="20"/>
            <w:u w:val="single"/>
          </w:rPr>
          <w:t>4</w:t>
        </w:r>
        <w:r w:rsidRPr="0072143A">
          <w:rPr>
            <w:rFonts w:ascii="Arial" w:hAnsi="Arial" w:cs="Arial"/>
            <w:b/>
            <w:i/>
            <w:iCs/>
            <w:color w:val="0000FF"/>
            <w:sz w:val="20"/>
            <w:szCs w:val="20"/>
            <w:u w:val="single"/>
          </w:rPr>
          <w:t xml:space="preserve">891/2023 </w:t>
        </w:r>
      </w:hyperlink>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При таких обстоятельствах, исследовав и оценив имеющиеся в деле доказательства по правилам </w:t>
      </w:r>
      <w:hyperlink r:id="rId36" w:history="1">
        <w:r w:rsidRPr="0072143A">
          <w:rPr>
            <w:rFonts w:ascii="Arial" w:hAnsi="Arial" w:cs="Arial"/>
            <w:iCs/>
            <w:color w:val="0000FF"/>
            <w:sz w:val="20"/>
            <w:szCs w:val="20"/>
            <w:u w:val="single"/>
          </w:rPr>
          <w:t>статьи 71</w:t>
        </w:r>
      </w:hyperlink>
      <w:r w:rsidRPr="0072143A">
        <w:rPr>
          <w:rFonts w:ascii="Arial" w:hAnsi="Arial" w:cs="Arial"/>
          <w:iCs/>
          <w:sz w:val="20"/>
          <w:szCs w:val="20"/>
        </w:rPr>
        <w:t xml:space="preserve"> АПК РФ в их совокупности и взаимосвязи, суды обоснованно пришли к выводу о том, что в рассматриваемом случае вынесение оспариваемых постановлений и проведение должностными лицами налогового органа мероприятий налогового контроля осуществлены в рамках полномочий, предоставленных </w:t>
      </w:r>
      <w:hyperlink r:id="rId37" w:history="1">
        <w:r w:rsidRPr="0072143A">
          <w:rPr>
            <w:rFonts w:ascii="Arial" w:hAnsi="Arial" w:cs="Arial"/>
            <w:iCs/>
            <w:color w:val="0000FF"/>
            <w:sz w:val="20"/>
            <w:szCs w:val="20"/>
            <w:u w:val="single"/>
          </w:rPr>
          <w:t>НК</w:t>
        </w:r>
      </w:hyperlink>
      <w:r w:rsidRPr="0072143A">
        <w:rPr>
          <w:rFonts w:ascii="Arial" w:hAnsi="Arial" w:cs="Arial"/>
          <w:iCs/>
          <w:sz w:val="20"/>
          <w:szCs w:val="20"/>
        </w:rPr>
        <w:t xml:space="preserve"> РФ и должностным регламентом, следовательно, не могут быть признаны нарушающими права налогоплательщика.</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С учетом изложенного суды правомерно отказали в удовлетворении заявленных Обществом требований.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Доводы, изложенные в кассационной жалобе, судом округа отклоняются, поскольку были предметом рассмотрения судов первой и апелляционной инстанций, получили надлежащую правовую оценку, не опровергают выводы судов, не свидетельствуют о наличии предусмотренных </w:t>
      </w:r>
      <w:hyperlink r:id="rId38" w:history="1">
        <w:r w:rsidRPr="0072143A">
          <w:rPr>
            <w:rFonts w:ascii="Arial" w:hAnsi="Arial" w:cs="Arial"/>
            <w:iCs/>
            <w:color w:val="0000FF"/>
            <w:sz w:val="20"/>
            <w:szCs w:val="20"/>
            <w:u w:val="single"/>
          </w:rPr>
          <w:t>статьей 288</w:t>
        </w:r>
      </w:hyperlink>
      <w:r w:rsidRPr="0072143A">
        <w:rPr>
          <w:rFonts w:ascii="Arial" w:hAnsi="Arial" w:cs="Arial"/>
          <w:iCs/>
          <w:sz w:val="20"/>
          <w:szCs w:val="20"/>
        </w:rPr>
        <w:t xml:space="preserve"> АПК РФ оснований для отмены обжалуемых судебных актов и направлены по существу на переоценку доказательств и установленных судами фактических обстоятельств дела, что в силу </w:t>
      </w:r>
      <w:hyperlink r:id="rId39" w:history="1">
        <w:r w:rsidRPr="0072143A">
          <w:rPr>
            <w:rFonts w:ascii="Arial" w:hAnsi="Arial" w:cs="Arial"/>
            <w:iCs/>
            <w:color w:val="0000FF"/>
            <w:sz w:val="20"/>
            <w:szCs w:val="20"/>
            <w:u w:val="single"/>
          </w:rPr>
          <w:t>статьи 286</w:t>
        </w:r>
      </w:hyperlink>
      <w:r w:rsidRPr="0072143A">
        <w:rPr>
          <w:rFonts w:ascii="Arial" w:hAnsi="Arial" w:cs="Arial"/>
          <w:iCs/>
          <w:sz w:val="20"/>
          <w:szCs w:val="20"/>
        </w:rPr>
        <w:t xml:space="preserve"> АПК РФ не входит в компетенцию суда кассационной инстанции. </w:t>
      </w:r>
    </w:p>
    <w:p w:rsidR="0072143A" w:rsidRPr="0072143A" w:rsidRDefault="0072143A" w:rsidP="0072143A">
      <w:pPr>
        <w:jc w:val="both"/>
        <w:rPr>
          <w:rFonts w:ascii="Arial" w:hAnsi="Arial" w:cs="Arial"/>
          <w:iCs/>
          <w:sz w:val="20"/>
          <w:szCs w:val="20"/>
        </w:rPr>
      </w:pPr>
      <w:hyperlink r:id="rId40" w:history="1">
        <w:r w:rsidRPr="0072143A">
          <w:rPr>
            <w:rFonts w:ascii="Arial" w:hAnsi="Arial" w:cs="Arial"/>
            <w:iCs/>
            <w:color w:val="0000FF"/>
            <w:sz w:val="20"/>
            <w:szCs w:val="20"/>
            <w:u w:val="single"/>
          </w:rPr>
          <w:t>Постановление</w:t>
        </w:r>
      </w:hyperlink>
      <w:r w:rsidRPr="0072143A">
        <w:rPr>
          <w:rFonts w:ascii="Arial" w:hAnsi="Arial" w:cs="Arial"/>
          <w:iCs/>
          <w:sz w:val="20"/>
          <w:szCs w:val="20"/>
        </w:rPr>
        <w:t xml:space="preserve"> апелляционного суда от 23.10.2024 соответствует нормам материального и процессуального права, а содержащиеся в нем выводы - установленным по делу фактическим обстоятельствам и имеющимся в деле доказательствам, поэтому отмене не подлежит.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В связи с принятием настоящего постановления с Общества подлежит взысканию в доход федерального бюджета государственная пошлина в размере 50 000 руб. за рассмотрение кассационной жалобы, поскольку ему при подаче кассационной жалобы была предоставлена отсрочка по ее уплате.</w:t>
      </w:r>
    </w:p>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sz w:val="20"/>
          <w:szCs w:val="20"/>
        </w:rPr>
      </w:pPr>
      <w:hyperlink r:id="rId41" w:tooltip="Ссылка на КонсультантПлюс" w:history="1">
        <w:r w:rsidRPr="0072143A">
          <w:rPr>
            <w:rFonts w:ascii="Arial" w:hAnsi="Arial" w:cs="Arial"/>
            <w:b/>
            <w:i/>
            <w:iCs/>
            <w:color w:val="0000FF"/>
            <w:sz w:val="20"/>
            <w:szCs w:val="20"/>
            <w:u w:val="single"/>
          </w:rPr>
          <w:t>Информация ФНС России "До 1 июля необходимо представить дорожную карту и план-график для перехода на налоговый мониторинг"</w:t>
        </w:r>
      </w:hyperlink>
    </w:p>
    <w:p w:rsidR="003165B3" w:rsidRDefault="003165B3"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r w:rsidRPr="0072143A">
        <w:rPr>
          <w:rFonts w:ascii="Arial" w:hAnsi="Arial" w:cs="Arial"/>
          <w:iCs/>
          <w:sz w:val="20"/>
          <w:szCs w:val="20"/>
        </w:rPr>
        <w:t>После согласования дорожной карты и плана-графика компания может переходить к этапу подачи документов для вступления в налоговый мониторинг. До 1 сентября необходимо предоставить в налоговый орган заявление о проведении налогового мониторинга, регламент информационного взаимодействия, сведения о взаимозависимых лицах, учетную политику для целей налогообложения организации и документы о системе внутреннего контроля.</w:t>
      </w:r>
    </w:p>
    <w:p w:rsidR="0072143A" w:rsidRDefault="0072143A" w:rsidP="0072143A">
      <w:pPr>
        <w:jc w:val="both"/>
        <w:rPr>
          <w:rFonts w:ascii="Arial" w:hAnsi="Arial" w:cs="Arial"/>
          <w:iCs/>
          <w:sz w:val="20"/>
          <w:szCs w:val="20"/>
        </w:rPr>
      </w:pPr>
    </w:p>
    <w:p w:rsid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sz w:val="20"/>
          <w:szCs w:val="20"/>
        </w:rPr>
      </w:pPr>
      <w:hyperlink r:id="rId42" w:tooltip="Ссылка на КонсультантПлюс" w:history="1">
        <w:r w:rsidRPr="0072143A">
          <w:rPr>
            <w:rFonts w:ascii="Arial" w:hAnsi="Arial" w:cs="Arial"/>
            <w:b/>
            <w:i/>
            <w:iCs/>
            <w:color w:val="0000FF"/>
            <w:sz w:val="20"/>
            <w:szCs w:val="20"/>
            <w:u w:val="single"/>
          </w:rPr>
          <w:t>Статья 88 НК РФ</w:t>
        </w:r>
      </w:hyperlink>
    </w:p>
    <w:p w:rsidR="003165B3" w:rsidRDefault="003165B3" w:rsidP="0072143A">
      <w:pPr>
        <w:jc w:val="both"/>
        <w:rPr>
          <w:rFonts w:ascii="Arial" w:hAnsi="Arial" w:cs="Arial"/>
          <w:iCs/>
          <w:sz w:val="20"/>
          <w:szCs w:val="20"/>
        </w:rPr>
      </w:pP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1.1. При представлении в течение срока проведения налогового мониторинга налоговой декларации (расчета) или уточненной налоговой декларации (уточненного расчета) за налоговый (отчетный) период года, за который проводится или проведен налоговый мониторинг, камеральная налоговая проверка не проводится, за исключением случая досрочного прекращения налогового мониторинга менее чем через три месяца со дня представления такой налоговой декларации (расчета). В этом случае камеральная налоговая проверка проводится со дня, следующего за днем досрочного прекращения налогового мониторинга.</w:t>
      </w:r>
    </w:p>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b/>
          <w:i/>
          <w:sz w:val="20"/>
          <w:szCs w:val="20"/>
        </w:rPr>
      </w:pPr>
      <w:hyperlink r:id="rId43" w:tooltip="Ссылка на КонсультантПлюс" w:history="1">
        <w:r w:rsidRPr="0072143A">
          <w:rPr>
            <w:rFonts w:ascii="Arial" w:hAnsi="Arial" w:cs="Arial"/>
            <w:b/>
            <w:i/>
            <w:iCs/>
            <w:color w:val="0000FF"/>
            <w:sz w:val="20"/>
            <w:szCs w:val="20"/>
            <w:u w:val="single"/>
          </w:rPr>
          <w:t>Статья 89 НК Р</w:t>
        </w:r>
        <w:r w:rsidRPr="0072143A">
          <w:rPr>
            <w:rFonts w:ascii="Arial" w:hAnsi="Arial" w:cs="Arial"/>
            <w:b/>
            <w:i/>
            <w:iCs/>
            <w:color w:val="0000FF"/>
            <w:sz w:val="20"/>
            <w:szCs w:val="20"/>
            <w:u w:val="single"/>
          </w:rPr>
          <w:t>Ф</w:t>
        </w:r>
      </w:hyperlink>
    </w:p>
    <w:p w:rsidR="003165B3" w:rsidRDefault="003165B3" w:rsidP="0072143A">
      <w:pPr>
        <w:jc w:val="both"/>
        <w:rPr>
          <w:rFonts w:ascii="Arial" w:hAnsi="Arial" w:cs="Arial"/>
          <w:iCs/>
          <w:sz w:val="20"/>
          <w:szCs w:val="20"/>
        </w:rPr>
      </w:pP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5.1. Налоговые органы не вправе проводить выездные налоговые проверки за период, за который проводится (проведен) налоговый мониторинг в отношении налогов, обязанность по исчислению и уплате которых в соответствии с настоящим Кодексом возложена на налогоплательщика, за исключением следующих случаев:</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1) проведение выездной налоговой проверки вышестоящим налоговым органом - в порядке контроля за деятельностью налогового органа, проводившего налоговый мониторинг;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2) досрочное прекращение налогового мониторинга;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 xml:space="preserve">3) невыполнение налогоплательщиком мотивированного мнения (мотивированных мнений) налогового органа в срок до 1 декабря года, следующего за периодом, за который проводился налоговый мониторинг, или в случае приостановления течения срока направления мотивированного мнения по запросу такого налогоплательщика для получения разъяснений в соответствии с </w:t>
      </w:r>
      <w:hyperlink r:id="rId44" w:history="1">
        <w:r w:rsidRPr="0072143A">
          <w:rPr>
            <w:rFonts w:ascii="Arial" w:hAnsi="Arial" w:cs="Arial"/>
            <w:iCs/>
            <w:color w:val="0000FF"/>
            <w:sz w:val="20"/>
            <w:szCs w:val="20"/>
            <w:u w:val="single"/>
          </w:rPr>
          <w:t>пунктом 5 статьи 105.30</w:t>
        </w:r>
      </w:hyperlink>
      <w:r w:rsidRPr="0072143A">
        <w:rPr>
          <w:rFonts w:ascii="Arial" w:hAnsi="Arial" w:cs="Arial"/>
          <w:iCs/>
          <w:sz w:val="20"/>
          <w:szCs w:val="20"/>
        </w:rPr>
        <w:t xml:space="preserve"> настоящего Кодекса по вопросам применения законодательства о налогах и сборах в более поздний срок, равный периоду такого приостановления, исчисляемому со дня получения таким налогоплательщиком указанного мотивированного мнения.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Предметом такой выездной налоговой проверки являются правильность исчисления и своевременность уплаты налогов (сборов, страховых взносов) в соответствии с невыполненным мотивированным мнением (невыполненными мотивированными мнениями); </w:t>
      </w:r>
    </w:p>
    <w:p w:rsidR="0072143A" w:rsidRPr="0072143A" w:rsidRDefault="0072143A" w:rsidP="0072143A">
      <w:pPr>
        <w:jc w:val="both"/>
        <w:rPr>
          <w:rFonts w:ascii="Arial" w:hAnsi="Arial" w:cs="Arial"/>
          <w:iCs/>
          <w:sz w:val="20"/>
          <w:szCs w:val="20"/>
        </w:rPr>
      </w:pPr>
      <w:r w:rsidRPr="0072143A">
        <w:rPr>
          <w:rFonts w:ascii="Arial" w:hAnsi="Arial" w:cs="Arial"/>
          <w:iCs/>
          <w:sz w:val="20"/>
          <w:szCs w:val="20"/>
        </w:rPr>
        <w:t>4) представление налогоплательщиком в календарном году, за который налоговый мониторинг не проводится, уточненной налоговой декларации (расчета) за период проведения налогового мониторинга,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акциза либо увеличена сумма полученного убытка. Предметом выездной налоговой проверки в указанном случае является правильность исчисления налога (сбора, страховых взносов) (определения суммы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стоимость или акциза либо увеличение суммы полученного убытка).</w:t>
      </w:r>
    </w:p>
    <w:p w:rsidR="0072143A" w:rsidRPr="0072143A" w:rsidRDefault="0072143A" w:rsidP="0072143A">
      <w:pPr>
        <w:jc w:val="both"/>
        <w:rPr>
          <w:rFonts w:ascii="Arial" w:hAnsi="Arial" w:cs="Arial"/>
          <w:iCs/>
          <w:sz w:val="20"/>
          <w:szCs w:val="20"/>
        </w:rPr>
      </w:pPr>
    </w:p>
    <w:p w:rsidR="0072143A" w:rsidRPr="0072143A" w:rsidRDefault="0072143A" w:rsidP="0072143A">
      <w:pPr>
        <w:jc w:val="both"/>
        <w:rPr>
          <w:rFonts w:ascii="Arial" w:hAnsi="Arial" w:cs="Arial"/>
          <w:iCs/>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Default="0072143A" w:rsidP="0072143A">
      <w:pPr>
        <w:jc w:val="both"/>
        <w:rPr>
          <w:rFonts w:ascii="Arial" w:hAnsi="Arial" w:cs="Arial"/>
          <w:sz w:val="20"/>
          <w:szCs w:val="20"/>
        </w:rPr>
      </w:pPr>
    </w:p>
    <w:p w:rsidR="0072143A" w:rsidRPr="003165B3" w:rsidRDefault="0072143A" w:rsidP="0072143A">
      <w:pPr>
        <w:jc w:val="center"/>
        <w:rPr>
          <w:rFonts w:ascii="Arial" w:eastAsia="Calibri" w:hAnsi="Arial" w:cs="Arial"/>
          <w:b/>
          <w:bCs/>
          <w:i/>
          <w:iCs/>
          <w:color w:val="2F5496"/>
          <w:sz w:val="20"/>
          <w:szCs w:val="20"/>
          <w:lang w:eastAsia="en-US"/>
        </w:rPr>
      </w:pPr>
      <w:bookmarkStart w:id="31" w:name="_Toc168307049"/>
      <w:bookmarkStart w:id="32" w:name="_Toc168456589"/>
      <w:bookmarkStart w:id="33" w:name="_Toc168472592"/>
      <w:bookmarkStart w:id="34" w:name="_Toc168473452"/>
      <w:bookmarkStart w:id="35" w:name="_Toc168994196"/>
      <w:bookmarkStart w:id="36" w:name="_Toc168994347"/>
      <w:r w:rsidRPr="003165B3">
        <w:rPr>
          <w:rFonts w:ascii="Arial" w:eastAsia="Calibri" w:hAnsi="Arial" w:cs="Arial"/>
          <w:b/>
          <w:bCs/>
          <w:i/>
          <w:iCs/>
          <w:color w:val="2F5496"/>
          <w:sz w:val="20"/>
          <w:szCs w:val="20"/>
          <w:lang w:eastAsia="en-US"/>
        </w:rPr>
        <w:lastRenderedPageBreak/>
        <w:t xml:space="preserve">Образец заявления о представлении справки </w:t>
      </w:r>
    </w:p>
    <w:p w:rsidR="0072143A" w:rsidRPr="003165B3" w:rsidRDefault="0072143A" w:rsidP="0072143A">
      <w:pPr>
        <w:jc w:val="center"/>
        <w:rPr>
          <w:rFonts w:ascii="Arial" w:eastAsia="Calibri" w:hAnsi="Arial" w:cs="Arial"/>
          <w:b/>
          <w:bCs/>
          <w:i/>
          <w:iCs/>
          <w:color w:val="2F5496"/>
          <w:sz w:val="20"/>
          <w:szCs w:val="20"/>
          <w:lang w:eastAsia="en-US"/>
        </w:rPr>
      </w:pPr>
      <w:r w:rsidRPr="003165B3">
        <w:rPr>
          <w:rFonts w:ascii="Arial" w:eastAsia="Calibri" w:hAnsi="Arial" w:cs="Arial"/>
          <w:b/>
          <w:bCs/>
          <w:i/>
          <w:iCs/>
          <w:color w:val="2F5496"/>
          <w:sz w:val="20"/>
          <w:szCs w:val="20"/>
          <w:lang w:eastAsia="en-US"/>
        </w:rPr>
        <w:t>об исполнении налогоплательщиком обязанности по уплате налогов</w:t>
      </w:r>
    </w:p>
    <w:p w:rsidR="0072143A" w:rsidRPr="0072143A" w:rsidRDefault="0072143A" w:rsidP="0072143A">
      <w:pPr>
        <w:rPr>
          <w:rFonts w:ascii="Arial" w:eastAsia="Calibri" w:hAnsi="Arial" w:cs="Arial"/>
          <w:sz w:val="20"/>
          <w:szCs w:val="20"/>
          <w:lang w:eastAsia="en-US"/>
        </w:rPr>
      </w:pPr>
    </w:p>
    <w:p w:rsidR="0072143A" w:rsidRPr="0072143A" w:rsidRDefault="0072143A" w:rsidP="0072143A">
      <w:pPr>
        <w:jc w:val="center"/>
        <w:rPr>
          <w:rFonts w:ascii="Arial" w:eastAsia="Calibri" w:hAnsi="Arial" w:cs="Arial"/>
          <w:sz w:val="20"/>
          <w:szCs w:val="20"/>
          <w:lang w:eastAsia="en-US"/>
        </w:rPr>
      </w:pPr>
      <w:r w:rsidRPr="0072143A">
        <w:rPr>
          <w:rFonts w:ascii="Arial" w:eastAsia="Calibri" w:hAnsi="Arial" w:cs="Arial"/>
          <w:noProof/>
          <w:position w:val="-615"/>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31" type="#_x0000_t75" style="width:433.75pt;height:612.65pt;visibility:visible" o:bordertopcolor="this" o:borderleftcolor="this" o:borderbottomcolor="this" o:borderrightcolor="this">
            <v:imagedata r:id="rId45" o:title=""/>
            <w10:bordertop type="wave" width="6"/>
            <w10:borderleft type="wave" width="6"/>
            <w10:borderbottom type="wave" width="6"/>
            <w10:borderright type="wave" width="6"/>
          </v:shape>
        </w:pict>
      </w:r>
    </w:p>
    <w:p w:rsidR="0072143A" w:rsidRPr="0072143A" w:rsidRDefault="0072143A" w:rsidP="0072143A">
      <w:pPr>
        <w:rPr>
          <w:rFonts w:ascii="Arial" w:eastAsia="Calibri" w:hAnsi="Arial" w:cs="Arial"/>
          <w:sz w:val="20"/>
          <w:szCs w:val="20"/>
          <w:lang w:eastAsia="en-US"/>
        </w:rPr>
      </w:pPr>
    </w:p>
    <w:bookmarkEnd w:id="31"/>
    <w:bookmarkEnd w:id="32"/>
    <w:bookmarkEnd w:id="33"/>
    <w:bookmarkEnd w:id="34"/>
    <w:bookmarkEnd w:id="35"/>
    <w:bookmarkEnd w:id="36"/>
    <w:bookmarkEnd w:id="0"/>
    <w:bookmarkEnd w:id="1"/>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72143A" w:rsidRPr="0072143A" w:rsidRDefault="0072143A" w:rsidP="0072143A">
      <w:pPr>
        <w:pStyle w:val="af"/>
        <w:ind w:left="0"/>
        <w:rPr>
          <w:rFonts w:ascii="Arial" w:hAnsi="Arial" w:cs="Arial"/>
          <w:sz w:val="20"/>
          <w:szCs w:val="20"/>
        </w:rPr>
      </w:pPr>
    </w:p>
    <w:sectPr w:rsidR="0072143A" w:rsidRPr="0072143A" w:rsidSect="0072143A">
      <w:headerReference w:type="default" r:id="rId46"/>
      <w:footerReference w:type="default" r:id="rId47"/>
      <w:headerReference w:type="first" r:id="rId48"/>
      <w:footerReference w:type="first" r:id="rId49"/>
      <w:pgSz w:w="11906" w:h="16838"/>
      <w:pgMar w:top="709"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43A" w:rsidRDefault="0072143A" w:rsidP="00704AA4">
      <w:r>
        <w:separator/>
      </w:r>
    </w:p>
  </w:endnote>
  <w:endnote w:type="continuationSeparator" w:id="0">
    <w:p w:rsidR="0072143A" w:rsidRDefault="0072143A"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72143A" w:rsidTr="005E75A5">
      <w:tc>
        <w:tcPr>
          <w:tcW w:w="4842" w:type="dxa"/>
          <w:shd w:val="clear" w:color="auto" w:fill="auto"/>
        </w:tcPr>
        <w:p w:rsidR="0072143A" w:rsidRPr="005E75A5" w:rsidRDefault="0072143A" w:rsidP="00D6731D">
          <w:pPr>
            <w:pStyle w:val="af7"/>
            <w:rPr>
              <w:rFonts w:ascii="Arial" w:hAnsi="Arial" w:cs="Arial"/>
              <w:sz w:val="18"/>
              <w:szCs w:val="18"/>
            </w:rPr>
          </w:pPr>
        </w:p>
        <w:p w:rsidR="0072143A" w:rsidRPr="005E75A5" w:rsidRDefault="0072143A"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72143A" w:rsidRPr="005E75A5" w:rsidRDefault="0072143A" w:rsidP="00D6731D">
          <w:pPr>
            <w:pStyle w:val="af7"/>
            <w:rPr>
              <w:rFonts w:ascii="Arial" w:hAnsi="Arial" w:cs="Arial"/>
              <w:sz w:val="18"/>
              <w:szCs w:val="18"/>
            </w:rPr>
          </w:pPr>
        </w:p>
      </w:tc>
      <w:tc>
        <w:tcPr>
          <w:tcW w:w="5047" w:type="dxa"/>
          <w:shd w:val="clear" w:color="auto" w:fill="auto"/>
        </w:tcPr>
        <w:p w:rsidR="0072143A" w:rsidRDefault="0072143A"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26.75pt;height:30.5pt">
                <v:imagedata r:id="rId1" o:title="K+"/>
              </v:shape>
            </w:pict>
          </w:r>
        </w:p>
      </w:tc>
    </w:tr>
  </w:tbl>
  <w:p w:rsidR="0072143A" w:rsidRDefault="0072143A">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72143A" w:rsidTr="005E75A5">
      <w:tc>
        <w:tcPr>
          <w:tcW w:w="4842" w:type="dxa"/>
          <w:shd w:val="clear" w:color="auto" w:fill="auto"/>
        </w:tcPr>
        <w:p w:rsidR="0072143A" w:rsidRPr="005E75A5" w:rsidRDefault="0072143A" w:rsidP="00D6731D">
          <w:pPr>
            <w:pStyle w:val="af7"/>
            <w:rPr>
              <w:rFonts w:ascii="Arial" w:hAnsi="Arial" w:cs="Arial"/>
              <w:sz w:val="18"/>
              <w:szCs w:val="18"/>
            </w:rPr>
          </w:pPr>
        </w:p>
        <w:p w:rsidR="0072143A" w:rsidRPr="005E75A5" w:rsidRDefault="0072143A"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72143A" w:rsidRPr="005E75A5" w:rsidRDefault="0072143A" w:rsidP="00D6731D">
          <w:pPr>
            <w:pStyle w:val="af7"/>
            <w:rPr>
              <w:rFonts w:ascii="Arial" w:hAnsi="Arial" w:cs="Arial"/>
              <w:sz w:val="18"/>
              <w:szCs w:val="18"/>
            </w:rPr>
          </w:pPr>
        </w:p>
      </w:tc>
      <w:tc>
        <w:tcPr>
          <w:tcW w:w="5047" w:type="dxa"/>
          <w:shd w:val="clear" w:color="auto" w:fill="auto"/>
        </w:tcPr>
        <w:p w:rsidR="0072143A" w:rsidRDefault="0072143A"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26.75pt;height:30.5pt">
                <v:imagedata r:id="rId1" o:title="K+"/>
              </v:shape>
            </w:pict>
          </w:r>
        </w:p>
      </w:tc>
    </w:tr>
  </w:tbl>
  <w:p w:rsidR="0072143A" w:rsidRDefault="0072143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43A" w:rsidRDefault="0072143A" w:rsidP="00704AA4">
      <w:r>
        <w:separator/>
      </w:r>
    </w:p>
  </w:footnote>
  <w:footnote w:type="continuationSeparator" w:id="0">
    <w:p w:rsidR="0072143A" w:rsidRDefault="0072143A"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43A" w:rsidRDefault="0072143A" w:rsidP="00EE3F99">
    <w:pPr>
      <w:pStyle w:val="af0"/>
      <w:tabs>
        <w:tab w:val="clear" w:pos="9355"/>
        <w:tab w:val="right" w:pos="9639"/>
      </w:tabs>
    </w:pPr>
  </w:p>
  <w:p w:rsidR="0072143A" w:rsidRPr="00704AA4" w:rsidRDefault="0072143A"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72143A" w:rsidRPr="00704AA4" w:rsidTr="006D28A7">
      <w:tc>
        <w:tcPr>
          <w:tcW w:w="4390" w:type="dxa"/>
          <w:shd w:val="clear" w:color="auto" w:fill="auto"/>
        </w:tcPr>
        <w:p w:rsidR="0072143A" w:rsidRPr="00704AA4" w:rsidRDefault="0072143A"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89.05pt;height:37.1pt;visibility:visible;mso-wrap-style:square">
                <v:imagedata r:id="rId1" o:title=""/>
              </v:shape>
            </w:pict>
          </w:r>
        </w:p>
      </w:tc>
      <w:tc>
        <w:tcPr>
          <w:tcW w:w="5804" w:type="dxa"/>
          <w:shd w:val="clear" w:color="auto" w:fill="auto"/>
        </w:tcPr>
        <w:p w:rsidR="0072143A" w:rsidRPr="006D28A7" w:rsidRDefault="0072143A"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72143A" w:rsidRPr="006D28A7" w:rsidRDefault="0072143A"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72143A" w:rsidRPr="006D28A7" w:rsidRDefault="0072143A"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72143A" w:rsidRPr="006D28A7" w:rsidRDefault="0072143A" w:rsidP="006D28A7">
          <w:pPr>
            <w:ind w:right="-30"/>
            <w:jc w:val="center"/>
            <w:rPr>
              <w:rFonts w:ascii="Arial" w:hAnsi="Arial" w:cs="Arial"/>
              <w:sz w:val="18"/>
              <w:szCs w:val="18"/>
            </w:rPr>
          </w:pPr>
        </w:p>
        <w:p w:rsidR="0072143A" w:rsidRPr="006D28A7" w:rsidRDefault="0072143A"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72143A" w:rsidRPr="006D28A7" w:rsidRDefault="0072143A" w:rsidP="006D28A7">
          <w:pPr>
            <w:ind w:right="-30"/>
            <w:jc w:val="right"/>
            <w:rPr>
              <w:rFonts w:ascii="Arial" w:hAnsi="Arial" w:cs="Arial"/>
              <w:sz w:val="20"/>
              <w:szCs w:val="20"/>
            </w:rPr>
          </w:pPr>
          <w:hyperlink r:id="rId2" w:history="1">
            <w:r w:rsidRPr="006D28A7">
              <w:rPr>
                <w:rStyle w:val="af6"/>
                <w:rFonts w:ascii="Arial" w:hAnsi="Arial" w:cs="Arial"/>
                <w:sz w:val="18"/>
                <w:szCs w:val="18"/>
                <w:lang w:val="en-US"/>
              </w:rPr>
              <w:t>hot@usoft.ru</w:t>
            </w:r>
          </w:hyperlink>
        </w:p>
        <w:p w:rsidR="0072143A" w:rsidRPr="00704AA4" w:rsidRDefault="0072143A" w:rsidP="00D6731D">
          <w:pPr>
            <w:pStyle w:val="af0"/>
          </w:pPr>
        </w:p>
      </w:tc>
    </w:tr>
  </w:tbl>
  <w:p w:rsidR="0072143A" w:rsidRDefault="0072143A"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312B"/>
    <w:multiLevelType w:val="hybridMultilevel"/>
    <w:tmpl w:val="F10E5C0A"/>
    <w:lvl w:ilvl="0" w:tplc="0419000D">
      <w:start w:val="1"/>
      <w:numFmt w:val="bullet"/>
      <w:lvlText w:val=""/>
      <w:lvlJc w:val="left"/>
      <w:pPr>
        <w:tabs>
          <w:tab w:val="num" w:pos="1800"/>
        </w:tabs>
        <w:ind w:left="1800" w:hanging="360"/>
      </w:pPr>
      <w:rPr>
        <w:rFonts w:ascii="Wingdings" w:hAnsi="Wingdings" w:hint="default"/>
        <w:i w:val="0"/>
        <w:iCs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5075C"/>
    <w:multiLevelType w:val="hybridMultilevel"/>
    <w:tmpl w:val="EFFEA8EE"/>
    <w:lvl w:ilvl="0" w:tplc="C8BA16F6">
      <w:start w:val="1"/>
      <w:numFmt w:val="bullet"/>
      <w:lvlText w:val=""/>
      <w:lvlJc w:val="left"/>
      <w:pPr>
        <w:tabs>
          <w:tab w:val="num" w:pos="1800"/>
        </w:tabs>
        <w:ind w:left="1800" w:hanging="360"/>
      </w:pPr>
      <w:rPr>
        <w:rFonts w:ascii="Symbol" w:hAnsi="Symbol" w:cs="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4">
    <w:nsid w:val="5B7D00EA"/>
    <w:multiLevelType w:val="hybridMultilevel"/>
    <w:tmpl w:val="7C924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D1588"/>
    <w:multiLevelType w:val="hybridMultilevel"/>
    <w:tmpl w:val="6D98F6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341655"/>
    <w:multiLevelType w:val="hybridMultilevel"/>
    <w:tmpl w:val="E66447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15"/>
  </w:num>
  <w:num w:numId="4">
    <w:abstractNumId w:val="10"/>
  </w:num>
  <w:num w:numId="5">
    <w:abstractNumId w:val="33"/>
  </w:num>
  <w:num w:numId="6">
    <w:abstractNumId w:val="19"/>
  </w:num>
  <w:num w:numId="7">
    <w:abstractNumId w:val="18"/>
  </w:num>
  <w:num w:numId="8">
    <w:abstractNumId w:val="5"/>
  </w:num>
  <w:num w:numId="9">
    <w:abstractNumId w:val="23"/>
  </w:num>
  <w:num w:numId="10">
    <w:abstractNumId w:val="2"/>
  </w:num>
  <w:num w:numId="11">
    <w:abstractNumId w:val="35"/>
  </w:num>
  <w:num w:numId="12">
    <w:abstractNumId w:val="0"/>
  </w:num>
  <w:num w:numId="13">
    <w:abstractNumId w:val="37"/>
  </w:num>
  <w:num w:numId="14">
    <w:abstractNumId w:val="31"/>
  </w:num>
  <w:num w:numId="15">
    <w:abstractNumId w:val="14"/>
  </w:num>
  <w:num w:numId="16">
    <w:abstractNumId w:val="1"/>
  </w:num>
  <w:num w:numId="17">
    <w:abstractNumId w:val="22"/>
  </w:num>
  <w:num w:numId="18">
    <w:abstractNumId w:val="28"/>
  </w:num>
  <w:num w:numId="19">
    <w:abstractNumId w:val="11"/>
  </w:num>
  <w:num w:numId="20">
    <w:abstractNumId w:val="27"/>
  </w:num>
  <w:num w:numId="21">
    <w:abstractNumId w:val="7"/>
  </w:num>
  <w:num w:numId="22">
    <w:abstractNumId w:val="21"/>
  </w:num>
  <w:num w:numId="23">
    <w:abstractNumId w:val="13"/>
  </w:num>
  <w:num w:numId="24">
    <w:abstractNumId w:val="34"/>
  </w:num>
  <w:num w:numId="25">
    <w:abstractNumId w:val="25"/>
  </w:num>
  <w:num w:numId="26">
    <w:abstractNumId w:val="29"/>
  </w:num>
  <w:num w:numId="27">
    <w:abstractNumId w:val="20"/>
  </w:num>
  <w:num w:numId="28">
    <w:abstractNumId w:val="16"/>
  </w:num>
  <w:num w:numId="29">
    <w:abstractNumId w:val="6"/>
  </w:num>
  <w:num w:numId="30">
    <w:abstractNumId w:val="8"/>
  </w:num>
  <w:num w:numId="31">
    <w:abstractNumId w:val="17"/>
  </w:num>
  <w:num w:numId="32">
    <w:abstractNumId w:val="3"/>
  </w:num>
  <w:num w:numId="33">
    <w:abstractNumId w:val="12"/>
  </w:num>
  <w:num w:numId="34">
    <w:abstractNumId w:val="9"/>
  </w:num>
  <w:num w:numId="35">
    <w:abstractNumId w:val="36"/>
  </w:num>
  <w:num w:numId="36">
    <w:abstractNumId w:val="24"/>
  </w:num>
  <w:num w:numId="37">
    <w:abstractNumId w:val="3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165B3"/>
    <w:rsid w:val="00330EBF"/>
    <w:rsid w:val="0033263D"/>
    <w:rsid w:val="00334E6F"/>
    <w:rsid w:val="00387580"/>
    <w:rsid w:val="00393E75"/>
    <w:rsid w:val="003A6765"/>
    <w:rsid w:val="003D0624"/>
    <w:rsid w:val="003D5111"/>
    <w:rsid w:val="004043DC"/>
    <w:rsid w:val="00405C7C"/>
    <w:rsid w:val="00407E4E"/>
    <w:rsid w:val="004209BF"/>
    <w:rsid w:val="00423ECB"/>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2143A"/>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0D7C"/>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uiPriority w:val="99"/>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99"/>
    <w:qFormat/>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uiPriority w:val="99"/>
    <w:rsid w:val="00176057"/>
    <w:pPr>
      <w:widowControl w:val="0"/>
      <w:autoSpaceDE w:val="0"/>
      <w:autoSpaceDN w:val="0"/>
    </w:pPr>
    <w:rPr>
      <w:rFonts w:eastAsia="Times New Roman" w:cs="Calibri"/>
      <w:b/>
      <w:sz w:val="22"/>
      <w:szCs w:val="22"/>
    </w:rPr>
  </w:style>
  <w:style w:type="paragraph" w:customStyle="1" w:styleId="ConsPlusTitlePage">
    <w:name w:val="ConsPlusTitlePage"/>
    <w:uiPriority w:val="99"/>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uiPriority w:val="99"/>
    <w:rsid w:val="00423EC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23ECB"/>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423ECB"/>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423EC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3EC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33&amp;dst=101756&amp;field=134&amp;date=04.06.2025" TargetMode="External"/><Relationship Id="rId18" Type="http://schemas.openxmlformats.org/officeDocument/2006/relationships/hyperlink" Target="https://login.consultant.ru/link/?req=doc&amp;base=LAW&amp;n=335394&amp;dst=100123&amp;field=134&amp;date=02.06.2025" TargetMode="External"/><Relationship Id="rId26" Type="http://schemas.openxmlformats.org/officeDocument/2006/relationships/hyperlink" Target="https://login.consultant.ru/link/?req=doc&amp;base=LAW&amp;n=475532&amp;dst=11253&amp;field=134&amp;date=10.06.2025" TargetMode="External"/><Relationship Id="rId39" Type="http://schemas.openxmlformats.org/officeDocument/2006/relationships/hyperlink" Target="https://login.consultant.ru/link/?req=doc&amp;base=LAW&amp;n=495133&amp;dst=101882&amp;field=134&amp;date=02.06.2025" TargetMode="External"/><Relationship Id="rId21" Type="http://schemas.openxmlformats.org/officeDocument/2006/relationships/hyperlink" Target="https://login.consultant.ru/link/?req=doc&amp;base=LAW&amp;n=335394&amp;dst=14&amp;field=134&amp;date=02.06.2025" TargetMode="External"/><Relationship Id="rId34" Type="http://schemas.openxmlformats.org/officeDocument/2006/relationships/hyperlink" Target="https://login.consultant.ru/link/?req=doc&amp;base=LAW&amp;n=129610&amp;dst=104475&amp;field=134&amp;date=02.06.2025" TargetMode="External"/><Relationship Id="rId42" Type="http://schemas.openxmlformats.org/officeDocument/2006/relationships/hyperlink" Target="https://login.consultant.ru/link/?req=doc&amp;base=LAW&amp;n=483130&amp;dst=5129&amp;date=03.06.2025"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35394&amp;dst=5&amp;field=134&amp;date=02.06.2025" TargetMode="External"/><Relationship Id="rId29" Type="http://schemas.openxmlformats.org/officeDocument/2006/relationships/hyperlink" Target="https://login.consultant.ru/link/?req=doc&amp;base=LAW&amp;n=129610&amp;dst=104284&amp;field=134&amp;date=02.06.2025" TargetMode="External"/><Relationship Id="rId11" Type="http://schemas.openxmlformats.org/officeDocument/2006/relationships/hyperlink" Target="https://login.consultant.ru/link/?req=doc&amp;base=LAW&amp;n=435180&amp;date=02.06.2025" TargetMode="External"/><Relationship Id="rId24" Type="http://schemas.openxmlformats.org/officeDocument/2006/relationships/hyperlink" Target="https://login.consultant.ru/link/?req=doc&amp;base=LAW&amp;n=388996&amp;dst=100156&amp;field=134&amp;date=10.06.2025" TargetMode="External"/><Relationship Id="rId32" Type="http://schemas.openxmlformats.org/officeDocument/2006/relationships/hyperlink" Target="https://login.consultant.ru/link/?req=doc&amp;base=LAW&amp;n=504823&amp;date=02.06.2025" TargetMode="External"/><Relationship Id="rId37" Type="http://schemas.openxmlformats.org/officeDocument/2006/relationships/hyperlink" Target="https://login.consultant.ru/link/?req=doc&amp;base=LAW&amp;n=480737&amp;date=02.06.2025" TargetMode="External"/><Relationship Id="rId40" Type="http://schemas.openxmlformats.org/officeDocument/2006/relationships/hyperlink" Target="https://login.consultant.ru/link/?req=doc&amp;base=RAPS011&amp;n=244211&amp;date=02.06.2025" TargetMode="External"/><Relationship Id="rId45"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login.consultant.ru/link/?req=doc&amp;base=LAW&amp;n=506651&amp;dst=100008&amp;date=02.06.2025" TargetMode="External"/><Relationship Id="rId23" Type="http://schemas.openxmlformats.org/officeDocument/2006/relationships/hyperlink" Target="https://login.consultant.ru/link/?req=doc&amp;base=LAW&amp;n=507408&amp;dst=100004&amp;date=10.06.2025" TargetMode="External"/><Relationship Id="rId28" Type="http://schemas.openxmlformats.org/officeDocument/2006/relationships/hyperlink" Target="https://www.nalog.gov.ru/rn77/taxation/reference_work/conception_vnp/" TargetMode="External"/><Relationship Id="rId36" Type="http://schemas.openxmlformats.org/officeDocument/2006/relationships/hyperlink" Target="https://login.consultant.ru/link/?req=doc&amp;base=LAW&amp;n=495133&amp;dst=100419&amp;field=134&amp;date=02.06.2025" TargetMode="External"/><Relationship Id="rId49" Type="http://schemas.openxmlformats.org/officeDocument/2006/relationships/footer" Target="footer2.xml"/><Relationship Id="rId10" Type="http://schemas.openxmlformats.org/officeDocument/2006/relationships/hyperlink" Target="https://login.consultant.ru/link/?req=doc&amp;base=LAW&amp;n=502724&amp;dst=100196&amp;field=134&amp;date=02.06.2025" TargetMode="External"/><Relationship Id="rId19" Type="http://schemas.openxmlformats.org/officeDocument/2006/relationships/hyperlink" Target="https://login.consultant.ru/link/?req=doc&amp;base=LAW&amp;n=335394&amp;dst=100135&amp;field=134&amp;date=02.06.2025" TargetMode="External"/><Relationship Id="rId31" Type="http://schemas.openxmlformats.org/officeDocument/2006/relationships/hyperlink" Target="https://www.nalog.gov.ru/rn77/taxation/reference_work/conception_vnp/" TargetMode="External"/><Relationship Id="rId44" Type="http://schemas.openxmlformats.org/officeDocument/2006/relationships/hyperlink" Target="https://login.consultant.ru/link/?req=doc&amp;base=LAW&amp;n=483130&amp;dst=3058&amp;field=134&amp;date=03.06.2025" TargetMode="External"/><Relationship Id="rId4" Type="http://schemas.openxmlformats.org/officeDocument/2006/relationships/settings" Target="settings.xml"/><Relationship Id="rId9" Type="http://schemas.openxmlformats.org/officeDocument/2006/relationships/hyperlink" Target="https://login.consultant.ru/link/?req=doc&amp;base=LAW&amp;n=502724&amp;dst=100020&amp;field=134&amp;date=02.06.2025" TargetMode="External"/><Relationship Id="rId14" Type="http://schemas.openxmlformats.org/officeDocument/2006/relationships/hyperlink" Target="https://login.consultant.ru/link/?req=doc&amp;base=LAW&amp;n=495133&amp;dst=100667&amp;field=134&amp;date=04.06.2025" TargetMode="External"/><Relationship Id="rId22" Type="http://schemas.openxmlformats.org/officeDocument/2006/relationships/hyperlink" Target="https://login.consultant.ru/link/?req=doc&amp;base=LAW&amp;n=335394&amp;dst=100143&amp;field=134&amp;date=02.06.2025" TargetMode="External"/><Relationship Id="rId27" Type="http://schemas.openxmlformats.org/officeDocument/2006/relationships/hyperlink" Target="https://login.consultant.ru/link/?req=doc&amp;base=LAW&amp;n=129610&amp;dst=100533&amp;date=23.06.2025" TargetMode="External"/><Relationship Id="rId30" Type="http://schemas.openxmlformats.org/officeDocument/2006/relationships/hyperlink" Target="https://login.consultant.ru/link/?req=doc&amp;base=LAW&amp;n=504823&amp;date=02.06.2025" TargetMode="External"/><Relationship Id="rId35" Type="http://schemas.openxmlformats.org/officeDocument/2006/relationships/hyperlink" Target="https://login.consultant.ru/link/?req=doc&amp;base=APV&amp;n=239140&amp;dst=100058&amp;date=07.05.2025" TargetMode="External"/><Relationship Id="rId43" Type="http://schemas.openxmlformats.org/officeDocument/2006/relationships/hyperlink" Target="https://login.consultant.ru/link/?req=doc&amp;base=LAW&amp;n=483130&amp;dst=5141&amp;date=03.06.2025" TargetMode="External"/><Relationship Id="rId48" Type="http://schemas.openxmlformats.org/officeDocument/2006/relationships/header" Target="header2.xml"/><Relationship Id="rId8" Type="http://schemas.openxmlformats.org/officeDocument/2006/relationships/hyperlink" Target="https://login.consultant.ru/link/?req=doc&amp;base=LAW&amp;n=502724&amp;dst=100007&amp;date=02.06.2025"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RAPS017&amp;n=335341&amp;dst=100081&amp;date=04.06.2025" TargetMode="External"/><Relationship Id="rId17" Type="http://schemas.openxmlformats.org/officeDocument/2006/relationships/hyperlink" Target="https://login.consultant.ru/link/?req=doc&amp;base=LAW&amp;n=506651&amp;dst=100026&amp;field=134&amp;date=02.06.2025" TargetMode="External"/><Relationship Id="rId25" Type="http://schemas.openxmlformats.org/officeDocument/2006/relationships/hyperlink" Target="https://login.consultant.ru/link/?req=doc&amp;base=LAW&amp;n=388996&amp;dst=100169&amp;date=10.06.2025" TargetMode="External"/><Relationship Id="rId33" Type="http://schemas.openxmlformats.org/officeDocument/2006/relationships/hyperlink" Target="https://login.consultant.ru/link/?req=doc&amp;base=LAW&amp;n=129610&amp;dst=104474&amp;field=134&amp;date=02.06.2025" TargetMode="External"/><Relationship Id="rId38" Type="http://schemas.openxmlformats.org/officeDocument/2006/relationships/hyperlink" Target="https://login.consultant.ru/link/?req=doc&amp;base=LAW&amp;n=495133&amp;dst=1084&amp;field=134&amp;date=02.06.2025" TargetMode="External"/><Relationship Id="rId46" Type="http://schemas.openxmlformats.org/officeDocument/2006/relationships/header" Target="header1.xml"/><Relationship Id="rId20" Type="http://schemas.openxmlformats.org/officeDocument/2006/relationships/hyperlink" Target="https://login.consultant.ru/link/?req=doc&amp;base=LAW&amp;n=335394&amp;dst=100142&amp;field=134&amp;date=02.06.2025" TargetMode="External"/><Relationship Id="rId41" Type="http://schemas.openxmlformats.org/officeDocument/2006/relationships/hyperlink" Target="https://login.consultant.ru/link/?req=doc&amp;base=LAW&amp;n=505806&amp;dst=100009&amp;date=03.06.202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1CC6-F2F0-4C33-9385-F569AA52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D4C3E311</Template>
  <TotalTime>0</TotalTime>
  <Pages>5</Pages>
  <Words>2848</Words>
  <Characters>16236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2025-07-11T07:47:00Z</dcterms:created>
  <dcterms:modified xsi:type="dcterms:W3CDTF">2025-07-11T07:47:00Z</dcterms:modified>
</cp:coreProperties>
</file>