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BA" w:rsidRPr="000F17BA" w:rsidRDefault="000F17BA" w:rsidP="000F17BA">
      <w:pPr>
        <w:pStyle w:val="ConsPlusNormal"/>
        <w:spacing w:before="120" w:after="120"/>
        <w:jc w:val="right"/>
        <w:outlineLvl w:val="0"/>
      </w:pPr>
      <w:r w:rsidRPr="000F17BA">
        <w:t>Актуально на 06.11.2025</w:t>
      </w:r>
      <w:r w:rsidRPr="000F17BA">
        <w:tab/>
      </w:r>
    </w:p>
    <w:p w:rsidR="000F17BA" w:rsidRPr="000F17BA" w:rsidRDefault="000F17BA" w:rsidP="000F17BA">
      <w:pPr>
        <w:pStyle w:val="ConsPlusTitle"/>
        <w:spacing w:before="120" w:after="120"/>
        <w:jc w:val="center"/>
        <w:rPr>
          <w:rFonts w:ascii="Arial" w:hAnsi="Arial" w:cs="Arial"/>
          <w:color w:val="2F5496"/>
          <w:sz w:val="24"/>
          <w:szCs w:val="24"/>
        </w:rPr>
      </w:pPr>
      <w:bookmarkStart w:id="0" w:name="_GoBack"/>
      <w:r w:rsidRPr="000F17BA">
        <w:rPr>
          <w:rFonts w:ascii="Arial" w:hAnsi="Arial" w:cs="Arial"/>
          <w:color w:val="2F5496"/>
          <w:sz w:val="24"/>
          <w:szCs w:val="24"/>
        </w:rPr>
        <w:t>ОСНОВНЫЕ ИЗМЕНЕНИЯ В НАЛОГОВОМ ЗАКОНОДАТЕЛЬСТВЕ В 2026 ГОДУ</w:t>
      </w:r>
    </w:p>
    <w:bookmarkEnd w:id="0"/>
    <w:p w:rsidR="000F17BA" w:rsidRPr="000F17BA" w:rsidRDefault="000F17BA" w:rsidP="000F17BA">
      <w:pPr>
        <w:pStyle w:val="ConsPlusNormal"/>
        <w:spacing w:before="120" w:after="12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0F17BA" w:rsidRPr="000F17BA" w:rsidTr="000F1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  <w:jc w:val="center"/>
            </w:pPr>
            <w:r w:rsidRPr="000F17BA">
              <w:rPr>
                <w:b/>
                <w:color w:val="392C69"/>
              </w:rPr>
              <w:t>К чему готовиться</w:t>
            </w:r>
          </w:p>
          <w:p w:rsidR="000F17BA" w:rsidRPr="000F17BA" w:rsidRDefault="000F17BA" w:rsidP="000F17BA">
            <w:pPr>
              <w:pStyle w:val="ConsPlusNormal"/>
              <w:spacing w:before="120" w:after="120"/>
              <w:jc w:val="center"/>
            </w:pPr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С </w:t>
            </w:r>
            <w:r w:rsidRPr="000F17BA">
              <w:rPr>
                <w:b/>
                <w:color w:val="392C69"/>
              </w:rPr>
              <w:t>1 января</w:t>
            </w:r>
            <w:r w:rsidRPr="000F17BA">
              <w:rPr>
                <w:color w:val="392C69"/>
              </w:rPr>
              <w:t>:</w:t>
            </w:r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на 220 тыс. руб. увеличивается предельная величина базы по страховым взносам </w:t>
            </w:r>
            <w:hyperlink w:anchor="P83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не действует временный порядок начисления пеней </w:t>
            </w:r>
            <w:hyperlink w:anchor="P31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подтверждать постановку на учет может выписка из ЕГРН </w:t>
            </w:r>
            <w:hyperlink w:anchor="P42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действуют новые форматы документов при налоговом мониторинге </w:t>
            </w:r>
            <w:hyperlink w:anchor="P54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повышается не облагаемый взносами и НДФЛ порог матпомощи семьям с детьми </w:t>
            </w:r>
            <w:hyperlink w:anchor="P89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работодатель вправе учесть в расходах матпомощь семьям с детьми </w:t>
            </w:r>
            <w:hyperlink w:anchor="P108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УПД становится основным электронным документом для подтверждения отгрузки </w:t>
            </w:r>
            <w:hyperlink w:anchor="P114">
              <w:r w:rsidRPr="000F17BA">
                <w:rPr>
                  <w:color w:val="0000FF"/>
                </w:rPr>
                <w:t>&gt;&gt;&gt;</w:t>
              </w:r>
            </w:hyperlink>
          </w:p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rPr>
                <w:color w:val="392C69"/>
              </w:rPr>
              <w:t xml:space="preserve">- не действует мораторий на штрафы за неподачу первой декларации по НДС для плательщиков на УСН </w:t>
            </w:r>
            <w:hyperlink w:anchor="P131">
              <w:r w:rsidRPr="000F17BA">
                <w:rPr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center"/>
      </w:pPr>
    </w:p>
    <w:p w:rsidR="000F17BA" w:rsidRPr="000F17BA" w:rsidRDefault="000F17BA" w:rsidP="000F17BA">
      <w:pPr>
        <w:pStyle w:val="ConsPlusTitle"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0F17BA">
        <w:rPr>
          <w:rFonts w:ascii="Arial" w:hAnsi="Arial" w:cs="Arial"/>
          <w:sz w:val="20"/>
          <w:szCs w:val="20"/>
        </w:rPr>
        <w:t>ТЕМЫ ОБЗОРА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Контроль за уплатой налогов и взносов </w:t>
      </w:r>
      <w:hyperlink w:anchor="P21">
        <w:r w:rsidRPr="000F17BA">
          <w:rPr>
            <w:color w:val="0000FF"/>
          </w:rPr>
          <w:t>&gt;&gt;&gt;</w:t>
        </w:r>
      </w:hyperlink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НДФЛ. Страховые взносы. Расчеты с сотрудниками </w:t>
      </w:r>
      <w:hyperlink w:anchor="P68">
        <w:r w:rsidRPr="000F17BA">
          <w:rPr>
            <w:color w:val="0000FF"/>
          </w:rPr>
          <w:t>&gt;&gt;&gt;</w:t>
        </w:r>
      </w:hyperlink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НДС. Налог на прибыль. УСН </w:t>
      </w:r>
      <w:hyperlink w:anchor="P97">
        <w:r w:rsidRPr="000F17BA">
          <w:rPr>
            <w:color w:val="0000FF"/>
          </w:rPr>
          <w:t>&gt;&gt;&gt;</w:t>
        </w:r>
      </w:hyperlink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center"/>
        <w:outlineLvl w:val="0"/>
        <w:rPr>
          <w:rFonts w:ascii="Arial" w:hAnsi="Arial" w:cs="Arial"/>
          <w:sz w:val="20"/>
          <w:szCs w:val="20"/>
        </w:rPr>
      </w:pPr>
      <w:bookmarkStart w:id="1" w:name="P21"/>
      <w:bookmarkEnd w:id="1"/>
      <w:r w:rsidRPr="000F17BA">
        <w:rPr>
          <w:rFonts w:ascii="Arial" w:hAnsi="Arial" w:cs="Arial"/>
          <w:sz w:val="20"/>
          <w:szCs w:val="20"/>
        </w:rPr>
        <w:t>КОНТРОЛЬ ЗА УПЛАТОЙ НАЛОГОВ И ВЗНОСОВ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r w:rsidRPr="000F17BA">
        <w:rPr>
          <w:rFonts w:ascii="Arial" w:hAnsi="Arial" w:cs="Arial"/>
          <w:sz w:val="20"/>
          <w:szCs w:val="20"/>
        </w:rPr>
        <w:t>С 1 апреля заполнять платежное поручение нужно по обновленным правилам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9">
              <w:r w:rsidRPr="000F17BA">
                <w:rPr>
                  <w:color w:val="0000FF"/>
                </w:rPr>
                <w:t>Приказ</w:t>
              </w:r>
            </w:hyperlink>
            <w:r w:rsidRPr="000F17BA">
              <w:t xml:space="preserve"> Минфина России от 16.05.2025 N 58н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Минфин утвердил новые правила заполнения платежек, составленные в виде таблицы с полным перечнем реквизитов и комментариями по их заполнению. В ней есть, в частности, отдельные указания по порядку заполнения реквизитов для фактических: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10">
        <w:r w:rsidRPr="000F17BA">
          <w:rPr>
            <w:color w:val="0000FF"/>
          </w:rPr>
          <w:t>плательщиков средств</w:t>
        </w:r>
      </w:hyperlink>
      <w:r w:rsidRPr="000F17BA">
        <w:t xml:space="preserve"> - назначение платежа, ИНН, КПП, тип идентификатора и идентификатор;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11">
        <w:r w:rsidRPr="000F17BA">
          <w:rPr>
            <w:color w:val="0000FF"/>
          </w:rPr>
          <w:t>получателей денег</w:t>
        </w:r>
      </w:hyperlink>
      <w:r w:rsidRPr="000F17BA">
        <w:t xml:space="preserve"> - наименование, ИНН, КПП.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2" w:name="P31"/>
      <w:bookmarkEnd w:id="2"/>
      <w:r w:rsidRPr="000F17BA">
        <w:rPr>
          <w:rFonts w:ascii="Arial" w:hAnsi="Arial" w:cs="Arial"/>
          <w:sz w:val="20"/>
          <w:szCs w:val="20"/>
        </w:rPr>
        <w:t>С 1 января не действует временный порядок начисления пеней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46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t xml:space="preserve">Федеральный </w:t>
            </w:r>
            <w:hyperlink r:id="rId12">
              <w:r w:rsidRPr="000F17BA">
                <w:rPr>
                  <w:color w:val="0000FF"/>
                </w:rPr>
                <w:t>закон</w:t>
              </w:r>
            </w:hyperlink>
            <w:r w:rsidRPr="000F17BA">
              <w:t xml:space="preserve"> от 29.10.2024 N 362-ФЗ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Пени с 1 января нужно рассчитывать по </w:t>
      </w:r>
      <w:hyperlink r:id="rId13">
        <w:r w:rsidRPr="000F17BA">
          <w:rPr>
            <w:color w:val="0000FF"/>
          </w:rPr>
          <w:t>общим правилам</w:t>
        </w:r>
      </w:hyperlink>
      <w:r w:rsidRPr="000F17BA">
        <w:t>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lastRenderedPageBreak/>
        <w:t>- за первые 30 календарных дней просрочки - 1/300 ставки ЦБ РФ от отрицательного сальдо;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с 31-го дня и по день оплаты - 1/150.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Прежний порядок применяется </w:t>
      </w:r>
      <w:hyperlink r:id="rId14">
        <w:r w:rsidRPr="000F17BA">
          <w:rPr>
            <w:color w:val="0000FF"/>
          </w:rPr>
          <w:t>по 31 декабря 2025 года</w:t>
        </w:r>
      </w:hyperlink>
      <w:r w:rsidRPr="000F17BA">
        <w:t xml:space="preserve"> включительно.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3" w:name="P42"/>
      <w:bookmarkEnd w:id="3"/>
      <w:r w:rsidRPr="000F17BA">
        <w:rPr>
          <w:rFonts w:ascii="Arial" w:hAnsi="Arial" w:cs="Arial"/>
          <w:sz w:val="20"/>
          <w:szCs w:val="20"/>
        </w:rPr>
        <w:t>С 1 января подтверждать постановку на учет может выписка из ЕГРН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117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t xml:space="preserve">Федеральный </w:t>
            </w:r>
            <w:hyperlink r:id="rId15">
              <w:r w:rsidRPr="000F17BA">
                <w:rPr>
                  <w:color w:val="0000FF"/>
                </w:rPr>
                <w:t>закон</w:t>
              </w:r>
            </w:hyperlink>
            <w:r w:rsidRPr="000F17BA">
              <w:t xml:space="preserve"> от 08.08.2024 N 259-ФЗ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43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16">
              <w:r w:rsidRPr="000F17BA">
                <w:rPr>
                  <w:color w:val="0000FF"/>
                </w:rPr>
                <w:t>Информация</w:t>
              </w:r>
            </w:hyperlink>
            <w:r w:rsidRPr="000F17BA"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Свидетельство о постановке на учет в инспекции упраздняют. Подтверждать постановку на учет и снятие с него </w:t>
      </w:r>
      <w:hyperlink r:id="rId17">
        <w:r w:rsidRPr="000F17BA">
          <w:rPr>
            <w:color w:val="0000FF"/>
          </w:rPr>
          <w:t>сможет</w:t>
        </w:r>
      </w:hyperlink>
      <w:r w:rsidRPr="000F17BA">
        <w:t xml:space="preserve"> в том числе выписка из единого </w:t>
      </w:r>
      <w:proofErr w:type="spellStart"/>
      <w:r w:rsidRPr="000F17BA">
        <w:t>госреестра</w:t>
      </w:r>
      <w:proofErr w:type="spellEnd"/>
      <w:r w:rsidRPr="000F17BA">
        <w:t xml:space="preserve"> налогоплательщиков (ЕГРН). Выданные до 2026 года свидетельства и уведомления </w:t>
      </w:r>
      <w:hyperlink r:id="rId18">
        <w:r w:rsidRPr="000F17BA">
          <w:rPr>
            <w:color w:val="0000FF"/>
          </w:rPr>
          <w:t>менять не нужно</w:t>
        </w:r>
      </w:hyperlink>
      <w:r w:rsidRPr="000F17BA">
        <w:t>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Кроме выписки из реестра налогоплательщиков, постановку на учет </w:t>
      </w:r>
      <w:hyperlink r:id="rId19">
        <w:r w:rsidRPr="000F17BA">
          <w:rPr>
            <w:color w:val="0000FF"/>
          </w:rPr>
          <w:t>подтвердят</w:t>
        </w:r>
      </w:hyperlink>
      <w:r w:rsidRPr="000F17BA">
        <w:t xml:space="preserve"> выписки: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для организаций - из ЕГРЮЛ;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иностранных компаний - </w:t>
      </w:r>
      <w:proofErr w:type="spellStart"/>
      <w:r w:rsidRPr="000F17BA">
        <w:t>Госреестра</w:t>
      </w:r>
      <w:proofErr w:type="spellEnd"/>
      <w:r w:rsidRPr="000F17BA">
        <w:t xml:space="preserve"> аккредитованных филиалов, представительств иностранных юрлиц (РАФП);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ИП - ЕГРИП.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Обращаем внимание, что ФНС </w:t>
      </w:r>
      <w:hyperlink r:id="rId20">
        <w:r w:rsidRPr="000F17BA">
          <w:rPr>
            <w:color w:val="0000FF"/>
          </w:rPr>
          <w:t>планирует утвердить</w:t>
        </w:r>
      </w:hyperlink>
      <w:r w:rsidRPr="000F17BA">
        <w:t xml:space="preserve"> форму запроса выписки из ЕГРН. Сейчас такой запрос можно составить </w:t>
      </w:r>
      <w:hyperlink r:id="rId21">
        <w:r w:rsidRPr="000F17BA">
          <w:rPr>
            <w:color w:val="0000FF"/>
          </w:rPr>
          <w:t>произвольно</w:t>
        </w:r>
      </w:hyperlink>
      <w:r w:rsidRPr="000F17BA">
        <w:t>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4" w:name="P54"/>
      <w:bookmarkEnd w:id="4"/>
      <w:r w:rsidRPr="000F17BA">
        <w:rPr>
          <w:rFonts w:ascii="Arial" w:hAnsi="Arial" w:cs="Arial"/>
          <w:sz w:val="20"/>
          <w:szCs w:val="20"/>
        </w:rPr>
        <w:t>С 1 января действуют новые форматы документов при налоговом мониторинге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42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22">
              <w:r w:rsidRPr="000F17BA">
                <w:rPr>
                  <w:color w:val="0000FF"/>
                </w:rPr>
                <w:t>Приказ</w:t>
              </w:r>
            </w:hyperlink>
            <w:r w:rsidRPr="000F17BA">
              <w:t xml:space="preserve"> ФНС России от 18.10.2023 N ЕД-7-23/757@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ФНС утвердила ряд новых форматов для электронного обмена документами через информресурсы организаций - участников налогового мониторинга. Речь идет о форматах: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23">
        <w:r w:rsidRPr="000F17BA">
          <w:rPr>
            <w:color w:val="0000FF"/>
          </w:rPr>
          <w:t>требования</w:t>
        </w:r>
      </w:hyperlink>
      <w:r w:rsidRPr="000F17BA">
        <w:t xml:space="preserve"> предоставить документы, информацию или пояснения;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24">
        <w:r w:rsidRPr="000F17BA">
          <w:rPr>
            <w:color w:val="0000FF"/>
          </w:rPr>
          <w:t>ответа</w:t>
        </w:r>
      </w:hyperlink>
      <w:r w:rsidRPr="000F17BA">
        <w:t xml:space="preserve"> на такое требование;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25">
        <w:r w:rsidRPr="000F17BA">
          <w:rPr>
            <w:color w:val="0000FF"/>
          </w:rPr>
          <w:t>решения</w:t>
        </w:r>
      </w:hyperlink>
      <w:r w:rsidRPr="000F17BA">
        <w:t xml:space="preserve"> продлить (отказать продлевать) сроки направления документов, информации или пояснений;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26">
        <w:r w:rsidRPr="000F17BA">
          <w:rPr>
            <w:color w:val="0000FF"/>
          </w:rPr>
          <w:t>протокола</w:t>
        </w:r>
      </w:hyperlink>
      <w:r w:rsidRPr="000F17BA">
        <w:t xml:space="preserve"> обработки документов или информации;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27">
        <w:r w:rsidRPr="000F17BA">
          <w:rPr>
            <w:color w:val="0000FF"/>
          </w:rPr>
          <w:t>сообщения</w:t>
        </w:r>
      </w:hyperlink>
      <w:r w:rsidRPr="000F17BA">
        <w:t xml:space="preserve"> об ошибке.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Определили и </w:t>
      </w:r>
      <w:hyperlink r:id="rId28">
        <w:r w:rsidRPr="000F17BA">
          <w:rPr>
            <w:color w:val="0000FF"/>
          </w:rPr>
          <w:t>порядок</w:t>
        </w:r>
      </w:hyperlink>
      <w:r w:rsidRPr="000F17BA">
        <w:t xml:space="preserve"> обмена документами через информресурсы. К примеру, бумажный документ </w:t>
      </w:r>
      <w:hyperlink r:id="rId29">
        <w:r w:rsidRPr="000F17BA">
          <w:rPr>
            <w:color w:val="0000FF"/>
          </w:rPr>
          <w:t>следует преобразовать</w:t>
        </w:r>
      </w:hyperlink>
      <w:r w:rsidRPr="000F17BA">
        <w:t xml:space="preserve"> в электронную форму. Для этого его сканируют с сохранением реквизитов.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center"/>
        <w:outlineLvl w:val="0"/>
        <w:rPr>
          <w:rFonts w:ascii="Arial" w:hAnsi="Arial" w:cs="Arial"/>
          <w:sz w:val="20"/>
          <w:szCs w:val="20"/>
        </w:rPr>
      </w:pPr>
      <w:bookmarkStart w:id="5" w:name="P68"/>
      <w:bookmarkEnd w:id="5"/>
      <w:r w:rsidRPr="000F17BA">
        <w:rPr>
          <w:rFonts w:ascii="Arial" w:hAnsi="Arial" w:cs="Arial"/>
          <w:sz w:val="20"/>
          <w:szCs w:val="20"/>
        </w:rPr>
        <w:t>НДФЛ. СТРАХОВЫЕ ВЗНОСЫ. РАСЧЕТЫ С СОТРУДНИКАМИ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r w:rsidRPr="000F17BA">
        <w:rPr>
          <w:rFonts w:ascii="Arial" w:hAnsi="Arial" w:cs="Arial"/>
          <w:sz w:val="20"/>
          <w:szCs w:val="20"/>
        </w:rPr>
        <w:t>Не позднее 15 апреля для взносов на травматизм нужно подтвердить вид деятельности подразделений по новым правилам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40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30">
              <w:r w:rsidRPr="000F17BA">
                <w:rPr>
                  <w:color w:val="0000FF"/>
                </w:rPr>
                <w:t>Приказ</w:t>
              </w:r>
            </w:hyperlink>
            <w:r w:rsidRPr="000F17BA">
              <w:t xml:space="preserve"> Минтруда России от 24.07.2025 N 463н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lastRenderedPageBreak/>
        <w:t xml:space="preserve">По изменениям, которые действуют с 27 октября 2025 года, подтверждать основной вид деятельности по месту нахождения подразделения </w:t>
      </w:r>
      <w:hyperlink r:id="rId31">
        <w:r w:rsidRPr="000F17BA">
          <w:rPr>
            <w:color w:val="0000FF"/>
          </w:rPr>
          <w:t>нужно</w:t>
        </w:r>
      </w:hyperlink>
      <w:r w:rsidRPr="000F17BA">
        <w:t>, только если по бухотчетности за прошлый год он изменился. Направлять копию пояснительной записки не надо. Также не нужно подтверждать ОВЭД, если нет изменений.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Новый порядок устанавливает </w:t>
      </w:r>
      <w:hyperlink r:id="rId32">
        <w:r w:rsidRPr="000F17BA">
          <w:rPr>
            <w:color w:val="0000FF"/>
          </w:rPr>
          <w:t>условия</w:t>
        </w:r>
      </w:hyperlink>
      <w:r w:rsidRPr="000F17BA">
        <w:t xml:space="preserve"> для рассмотрения фондом заявлений о выделении подразделений страхователя в самостоятельные классификационные единицы (СКЕ). Причем по прежним правилам требований к СКЕ </w:t>
      </w:r>
      <w:hyperlink r:id="rId33">
        <w:r w:rsidRPr="000F17BA">
          <w:rPr>
            <w:color w:val="0000FF"/>
          </w:rPr>
          <w:t>было больше</w:t>
        </w:r>
      </w:hyperlink>
      <w:r w:rsidRPr="000F17BA">
        <w:t>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Также Минтруд рекомендовал формы документов, например: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34">
        <w:r w:rsidRPr="000F17BA">
          <w:rPr>
            <w:color w:val="0000FF"/>
          </w:rPr>
          <w:t>заявления</w:t>
        </w:r>
      </w:hyperlink>
      <w:r w:rsidRPr="000F17BA">
        <w:t xml:space="preserve"> о подтверждении ОВЭД;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35">
        <w:r w:rsidRPr="000F17BA">
          <w:rPr>
            <w:color w:val="0000FF"/>
          </w:rPr>
          <w:t>справки-подтверждения</w:t>
        </w:r>
      </w:hyperlink>
      <w:r w:rsidRPr="000F17BA">
        <w:t xml:space="preserve"> ОВЭД;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- </w:t>
      </w:r>
      <w:hyperlink r:id="rId36">
        <w:r w:rsidRPr="000F17BA">
          <w:rPr>
            <w:color w:val="0000FF"/>
          </w:rPr>
          <w:t>заявления</w:t>
        </w:r>
      </w:hyperlink>
      <w:r w:rsidRPr="000F17BA">
        <w:t xml:space="preserve"> о выделении подразделений в СКЕ.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6" w:name="P83"/>
      <w:bookmarkEnd w:id="6"/>
      <w:r w:rsidRPr="000F17BA">
        <w:rPr>
          <w:rFonts w:ascii="Arial" w:hAnsi="Arial" w:cs="Arial"/>
          <w:sz w:val="20"/>
          <w:szCs w:val="20"/>
        </w:rPr>
        <w:t>С 1 января на 220 тыс. руб. увеличивается предельная величина базы по страховым взносам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38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37">
              <w:r w:rsidRPr="000F17BA">
                <w:rPr>
                  <w:color w:val="0000FF"/>
                </w:rPr>
                <w:t>Постановление</w:t>
              </w:r>
            </w:hyperlink>
            <w:r w:rsidRPr="000F17BA">
              <w:t xml:space="preserve"> Правительства РФ от 31.10.2025 N 1705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Единая предельная величина базы по взносам на 2026 год - </w:t>
      </w:r>
      <w:hyperlink r:id="rId38">
        <w:r w:rsidRPr="000F17BA">
          <w:rPr>
            <w:color w:val="0000FF"/>
          </w:rPr>
          <w:t>2 979 тыс. руб</w:t>
        </w:r>
      </w:hyperlink>
      <w:r w:rsidRPr="000F17BA">
        <w:t xml:space="preserve">. Для 2025 года она составляет </w:t>
      </w:r>
      <w:hyperlink r:id="rId39">
        <w:r w:rsidRPr="000F17BA">
          <w:rPr>
            <w:color w:val="0000FF"/>
          </w:rPr>
          <w:t>2 759 тыс. руб</w:t>
        </w:r>
      </w:hyperlink>
      <w:r w:rsidRPr="000F17BA">
        <w:t>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7" w:name="P89"/>
      <w:bookmarkEnd w:id="7"/>
      <w:r w:rsidRPr="000F17BA">
        <w:rPr>
          <w:rFonts w:ascii="Arial" w:hAnsi="Arial" w:cs="Arial"/>
          <w:sz w:val="20"/>
          <w:szCs w:val="20"/>
        </w:rPr>
        <w:t>С 1 января повышается не облагаемый взносами и НДФЛ порог матпомощи семьям с детьми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37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t xml:space="preserve">Федеральный </w:t>
            </w:r>
            <w:hyperlink r:id="rId40">
              <w:r w:rsidRPr="000F17BA">
                <w:rPr>
                  <w:color w:val="0000FF"/>
                </w:rPr>
                <w:t>закон</w:t>
              </w:r>
            </w:hyperlink>
            <w:r w:rsidRPr="000F17BA">
              <w:t xml:space="preserve"> от 23.07.2025 N 227-ФЗ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Единовременные выплаты (матпомощь) до 1 млн руб. на каждого ребенка </w:t>
      </w:r>
      <w:hyperlink w:anchor="P89">
        <w:r w:rsidRPr="000F17BA">
          <w:rPr>
            <w:color w:val="0000FF"/>
          </w:rPr>
          <w:t>освободили</w:t>
        </w:r>
      </w:hyperlink>
      <w:r w:rsidRPr="000F17BA">
        <w:t xml:space="preserve"> от </w:t>
      </w:r>
      <w:hyperlink r:id="rId41">
        <w:r w:rsidRPr="000F17BA">
          <w:rPr>
            <w:color w:val="0000FF"/>
          </w:rPr>
          <w:t>НДФЛ</w:t>
        </w:r>
      </w:hyperlink>
      <w:r w:rsidRPr="000F17BA">
        <w:t xml:space="preserve"> и </w:t>
      </w:r>
      <w:hyperlink r:id="rId42">
        <w:r w:rsidRPr="000F17BA">
          <w:rPr>
            <w:color w:val="0000FF"/>
          </w:rPr>
          <w:t>страховых взносов</w:t>
        </w:r>
      </w:hyperlink>
      <w:r w:rsidRPr="000F17BA">
        <w:t>. Речь идет о поддержке, которую работодатели оказывают работникам в течение первого года после рождения, усыновления ребенка или установления опеки над ним. По прежней редакции лимит необлагаемых сумм - 50 тыс. руб.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center"/>
        <w:outlineLvl w:val="0"/>
        <w:rPr>
          <w:rFonts w:ascii="Arial" w:hAnsi="Arial" w:cs="Arial"/>
          <w:sz w:val="20"/>
          <w:szCs w:val="20"/>
        </w:rPr>
      </w:pPr>
      <w:bookmarkStart w:id="8" w:name="P97"/>
      <w:bookmarkEnd w:id="8"/>
      <w:r w:rsidRPr="000F17BA">
        <w:rPr>
          <w:rFonts w:ascii="Arial" w:hAnsi="Arial" w:cs="Arial"/>
          <w:sz w:val="20"/>
          <w:szCs w:val="20"/>
        </w:rPr>
        <w:t>НДС. НАЛОГ НА ПРИБЫЛЬ. УСН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r w:rsidRPr="000F17BA">
        <w:rPr>
          <w:rFonts w:ascii="Arial" w:hAnsi="Arial" w:cs="Arial"/>
          <w:sz w:val="20"/>
          <w:szCs w:val="20"/>
        </w:rPr>
        <w:t>Не позднее 25 марта нужно подать декларацию по налогу на прибыль по новой форме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35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43">
              <w:r w:rsidRPr="000F17BA">
                <w:rPr>
                  <w:color w:val="0000FF"/>
                </w:rPr>
                <w:t>Приказ</w:t>
              </w:r>
            </w:hyperlink>
            <w:r w:rsidRPr="000F17BA">
              <w:t xml:space="preserve"> ФНС России от 03.10.2025 N ЕД-7-3/855@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Почти все изменения </w:t>
      </w:r>
      <w:hyperlink r:id="rId44">
        <w:r w:rsidRPr="000F17BA">
          <w:rPr>
            <w:color w:val="0000FF"/>
          </w:rPr>
          <w:t>нужно применять</w:t>
        </w:r>
      </w:hyperlink>
      <w:r w:rsidRPr="000F17BA">
        <w:t xml:space="preserve"> с отчетности за 2025 год. Среди новшеств можно выделить такие: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появился новый лист 05.1 для операций с цифровой валютой;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в лист 08 "Корректировки, связанные с ценообразованием" включили поле, где отражают уникальный номер контракта (кредитного договора), который присваивает банк. Этот номер должен соответствовать договору, сведения о котором отразили в реквизитах "Номер договора" и "Дата договора" при внешнеторговых сделках;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из листа 02 "Расчет суммы налога" исключили строки 130, 170, 171 о налоге в региональный бюджет.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9" w:name="P108"/>
      <w:bookmarkEnd w:id="9"/>
      <w:r w:rsidRPr="000F17BA">
        <w:rPr>
          <w:rFonts w:ascii="Arial" w:hAnsi="Arial" w:cs="Arial"/>
          <w:sz w:val="20"/>
          <w:szCs w:val="20"/>
        </w:rPr>
        <w:t>С 1 января работодатель вправе учесть в расходах матпомощь семьям с детьми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127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r w:rsidRPr="000F17BA">
              <w:t xml:space="preserve">Федеральный </w:t>
            </w:r>
            <w:hyperlink r:id="rId45">
              <w:r w:rsidRPr="000F17BA">
                <w:rPr>
                  <w:color w:val="0000FF"/>
                </w:rPr>
                <w:t>закон</w:t>
              </w:r>
            </w:hyperlink>
            <w:r w:rsidRPr="000F17BA">
              <w:t xml:space="preserve"> от 23.07.2025 N 227-ФЗ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lastRenderedPageBreak/>
        <w:t xml:space="preserve">Единовременные выплаты (матпомощь) до 1 млн руб. на каждого ребенка, которые освободили от НДФЛ и страховых взносов, </w:t>
      </w:r>
      <w:hyperlink r:id="rId46">
        <w:r w:rsidRPr="000F17BA">
          <w:rPr>
            <w:color w:val="0000FF"/>
          </w:rPr>
          <w:t>можно учесть</w:t>
        </w:r>
      </w:hyperlink>
      <w:r w:rsidRPr="000F17BA">
        <w:t xml:space="preserve"> во внереализационных расходах. Речь идет о поддержке, которую работодатели оказывают работникам в течение первого года после рождения, усыновления ребенка или установления опеки над ним.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10" w:name="P114"/>
      <w:bookmarkEnd w:id="10"/>
      <w:r w:rsidRPr="000F17BA">
        <w:rPr>
          <w:rFonts w:ascii="Arial" w:hAnsi="Arial" w:cs="Arial"/>
          <w:sz w:val="20"/>
          <w:szCs w:val="20"/>
        </w:rPr>
        <w:t>С 1 января УПД становится основным электронным документом для подтверждения отгрузки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0F17BA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174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47">
              <w:r w:rsidRPr="000F17BA">
                <w:rPr>
                  <w:color w:val="0000FF"/>
                </w:rPr>
                <w:t>Приказ</w:t>
              </w:r>
            </w:hyperlink>
            <w:r w:rsidRPr="000F17BA">
              <w:t xml:space="preserve"> ФНС России от 20.01.2025 N ЕД-7-26/28@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  <w:tr w:rsidR="000F17BA" w:rsidRPr="000F17BA" w:rsidTr="000F17BA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032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48">
              <w:r w:rsidRPr="000F17BA">
                <w:rPr>
                  <w:color w:val="0000FF"/>
                </w:rPr>
                <w:t>Информация</w:t>
              </w:r>
            </w:hyperlink>
            <w:r w:rsidRPr="000F17BA"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  <w:tr w:rsidR="000F17BA" w:rsidRPr="000F17BA" w:rsidTr="000F17BA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_x0000_i1138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49">
              <w:r w:rsidRPr="000F17BA">
                <w:rPr>
                  <w:color w:val="0000FF"/>
                </w:rPr>
                <w:t>Информация</w:t>
              </w:r>
            </w:hyperlink>
            <w:r w:rsidRPr="000F17BA">
              <w:t xml:space="preserve"> ФНС России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С начала года </w:t>
      </w:r>
      <w:hyperlink r:id="rId50">
        <w:r w:rsidRPr="000F17BA">
          <w:rPr>
            <w:color w:val="0000FF"/>
          </w:rPr>
          <w:t>прекращают действовать</w:t>
        </w:r>
      </w:hyperlink>
      <w:r w:rsidRPr="000F17BA">
        <w:t xml:space="preserve"> форматы: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документа о передаче товаров при торговых операциях;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акта выполненных работ и оказанных услуг.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ФНС </w:t>
      </w:r>
      <w:hyperlink r:id="rId51">
        <w:r w:rsidRPr="000F17BA">
          <w:rPr>
            <w:color w:val="0000FF"/>
          </w:rPr>
          <w:t>рекомендует использовать</w:t>
        </w:r>
      </w:hyperlink>
      <w:r w:rsidRPr="000F17BA">
        <w:t xml:space="preserve"> электронный </w:t>
      </w:r>
      <w:hyperlink r:id="rId52">
        <w:r w:rsidRPr="000F17BA">
          <w:rPr>
            <w:color w:val="0000FF"/>
          </w:rPr>
          <w:t>УПД</w:t>
        </w:r>
      </w:hyperlink>
      <w:r w:rsidRPr="000F17BA">
        <w:t xml:space="preserve"> для подтверждения отгрузки товаров, выполнения работ или оказания услуг уже сейчас. </w:t>
      </w:r>
      <w:proofErr w:type="spellStart"/>
      <w:r w:rsidRPr="000F17BA">
        <w:t>Проактивная</w:t>
      </w:r>
      <w:proofErr w:type="spellEnd"/>
      <w:r w:rsidRPr="000F17BA">
        <w:t xml:space="preserve"> подготовка предотвратит необходимость спешно внедрять нового формата и облегчит переход на новый режим работы.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Также ФНС </w:t>
      </w:r>
      <w:hyperlink r:id="rId53">
        <w:r w:rsidRPr="000F17BA">
          <w:rPr>
            <w:color w:val="0000FF"/>
          </w:rPr>
          <w:t>отметила</w:t>
        </w:r>
      </w:hyperlink>
      <w:r w:rsidRPr="000F17BA">
        <w:t>: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изменения затронут только тех, кто до 2026 года принимал и отправлял товарные накладные и акты по отменяемым форматам;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создавать акты и товарные накладные в электронной форме можно с помощью формата УПД. Он объединяет первичку и счет-фактуру. Его можно использовать для формирования товарной накладной и акта оказанных услуг, выполненных работ вместе со счетом-фактурой либо раздельно с ним;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>- создавать первичку как в виде неформализованных электронных документов, так и на бумаге можно и после 1 января. Бумажные формы товарной накладной и акта не отменяют. Если, к примеру, сейчас вы обмениваетесь бумажными актами и электронными счетами-фактурами, то сможете делать это и в 2026 году.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Title"/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bookmarkStart w:id="11" w:name="P131"/>
      <w:bookmarkEnd w:id="11"/>
      <w:r w:rsidRPr="000F17BA">
        <w:rPr>
          <w:rFonts w:ascii="Arial" w:hAnsi="Arial" w:cs="Arial"/>
          <w:sz w:val="20"/>
          <w:szCs w:val="20"/>
        </w:rPr>
        <w:t>С 1 января не действует мораторий на штрафы за неподачу первой декларации по НДС для плательщиков на УСН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9628"/>
        <w:gridCol w:w="180"/>
      </w:tblGrid>
      <w:tr w:rsidR="000F17BA" w:rsidRPr="000F17BA" w:rsidTr="00FE0CE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  <w:r w:rsidRPr="000F17BA">
              <w:rPr>
                <w:noProof/>
              </w:rPr>
              <w:pict>
                <v:shape id="Консультант Плюс" o:spid="_x0000_i1029" type="#_x0000_t75" style="width:9.1pt;height:11.0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0F17BA" w:rsidRPr="000F17BA" w:rsidRDefault="000F17BA" w:rsidP="000F17BA">
            <w:pPr>
              <w:pStyle w:val="ConsPlusNormal"/>
              <w:spacing w:before="120" w:after="120"/>
              <w:jc w:val="both"/>
            </w:pPr>
            <w:hyperlink r:id="rId54">
              <w:r w:rsidRPr="000F17BA">
                <w:rPr>
                  <w:color w:val="0000FF"/>
                </w:rPr>
                <w:t>Постановление</w:t>
              </w:r>
            </w:hyperlink>
            <w:r w:rsidRPr="000F17BA">
              <w:t xml:space="preserve"> Правительства РФ от 23.04.2025 N 530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7BA" w:rsidRPr="000F17BA" w:rsidRDefault="000F17BA" w:rsidP="000F17BA">
            <w:pPr>
              <w:pStyle w:val="ConsPlusNormal"/>
              <w:spacing w:before="120" w:after="120"/>
            </w:pPr>
          </w:p>
        </w:tc>
      </w:tr>
    </w:tbl>
    <w:p w:rsidR="000F17BA" w:rsidRPr="000F17BA" w:rsidRDefault="000F17BA" w:rsidP="000F17BA">
      <w:pPr>
        <w:pStyle w:val="ConsPlusNormal"/>
        <w:spacing w:before="120" w:after="120"/>
        <w:jc w:val="both"/>
      </w:pPr>
      <w:r w:rsidRPr="000F17BA">
        <w:t xml:space="preserve">В 2025 году правительство поддерживало организации и ИП на УСН, которые впервые стали плательщиками НДС. Их </w:t>
      </w:r>
      <w:hyperlink r:id="rId55">
        <w:r w:rsidRPr="000F17BA">
          <w:rPr>
            <w:color w:val="0000FF"/>
          </w:rPr>
          <w:t>не штрафовали</w:t>
        </w:r>
      </w:hyperlink>
      <w:r w:rsidRPr="000F17BA">
        <w:t xml:space="preserve"> по п. 1 ст. 119 НК РФ за неподачу в срок первой декларации по НДС за любой из кварталов. С 1 января этот мораторий не действует.</w:t>
      </w: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spacing w:before="120" w:after="120"/>
        <w:jc w:val="both"/>
      </w:pPr>
    </w:p>
    <w:p w:rsidR="000F17BA" w:rsidRPr="000F17BA" w:rsidRDefault="000F17BA" w:rsidP="000F17BA">
      <w:pPr>
        <w:pStyle w:val="ConsPlusNormal"/>
        <w:pBdr>
          <w:bottom w:val="single" w:sz="6" w:space="0" w:color="auto"/>
        </w:pBdr>
        <w:spacing w:before="120" w:after="120"/>
        <w:jc w:val="both"/>
      </w:pPr>
    </w:p>
    <w:p w:rsidR="000F17BA" w:rsidRPr="000F17BA" w:rsidRDefault="000F17BA" w:rsidP="000F17BA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</w:p>
    <w:p w:rsidR="00D43F17" w:rsidRPr="000F17BA" w:rsidRDefault="00D43F17" w:rsidP="000F17BA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</w:p>
    <w:sectPr w:rsidR="00D43F17" w:rsidRPr="000F17BA" w:rsidSect="004837A0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0F17BA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0F17BA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0F17BA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0F17BA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0F17BA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9.1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0F17BA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0F17BA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8"/>
  </w:num>
  <w:num w:numId="5">
    <w:abstractNumId w:val="29"/>
  </w:num>
  <w:num w:numId="6">
    <w:abstractNumId w:val="17"/>
  </w:num>
  <w:num w:numId="7">
    <w:abstractNumId w:val="16"/>
  </w:num>
  <w:num w:numId="8">
    <w:abstractNumId w:val="4"/>
  </w:num>
  <w:num w:numId="9">
    <w:abstractNumId w:val="21"/>
  </w:num>
  <w:num w:numId="10">
    <w:abstractNumId w:val="2"/>
  </w:num>
  <w:num w:numId="11">
    <w:abstractNumId w:val="31"/>
  </w:num>
  <w:num w:numId="12">
    <w:abstractNumId w:val="0"/>
  </w:num>
  <w:num w:numId="13">
    <w:abstractNumId w:val="32"/>
  </w:num>
  <w:num w:numId="14">
    <w:abstractNumId w:val="28"/>
  </w:num>
  <w:num w:numId="15">
    <w:abstractNumId w:val="12"/>
  </w:num>
  <w:num w:numId="16">
    <w:abstractNumId w:val="1"/>
  </w:num>
  <w:num w:numId="17">
    <w:abstractNumId w:val="20"/>
  </w:num>
  <w:num w:numId="18">
    <w:abstractNumId w:val="25"/>
  </w:num>
  <w:num w:numId="19">
    <w:abstractNumId w:val="9"/>
  </w:num>
  <w:num w:numId="20">
    <w:abstractNumId w:val="24"/>
  </w:num>
  <w:num w:numId="21">
    <w:abstractNumId w:val="6"/>
  </w:num>
  <w:num w:numId="22">
    <w:abstractNumId w:val="19"/>
  </w:num>
  <w:num w:numId="23">
    <w:abstractNumId w:val="11"/>
  </w:num>
  <w:num w:numId="24">
    <w:abstractNumId w:val="30"/>
  </w:num>
  <w:num w:numId="25">
    <w:abstractNumId w:val="22"/>
  </w:num>
  <w:num w:numId="26">
    <w:abstractNumId w:val="26"/>
  </w:num>
  <w:num w:numId="27">
    <w:abstractNumId w:val="18"/>
  </w:num>
  <w:num w:numId="28">
    <w:abstractNumId w:val="14"/>
  </w:num>
  <w:num w:numId="29">
    <w:abstractNumId w:val="5"/>
  </w:num>
  <w:num w:numId="30">
    <w:abstractNumId w:val="7"/>
  </w:num>
  <w:num w:numId="31">
    <w:abstractNumId w:val="15"/>
  </w:num>
  <w:num w:numId="32">
    <w:abstractNumId w:val="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17BA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719&amp;dst=6844" TargetMode="External"/><Relationship Id="rId18" Type="http://schemas.openxmlformats.org/officeDocument/2006/relationships/hyperlink" Target="https://login.consultant.ru/link/?req=doc&amp;base=LAW&amp;n=482529&amp;dst=100751" TargetMode="External"/><Relationship Id="rId26" Type="http://schemas.openxmlformats.org/officeDocument/2006/relationships/hyperlink" Target="https://login.consultant.ru/link/?req=doc&amp;base=LAW&amp;n=460488&amp;dst=101569" TargetMode="External"/><Relationship Id="rId39" Type="http://schemas.openxmlformats.org/officeDocument/2006/relationships/hyperlink" Target="https://login.consultant.ru/link/?req=doc&amp;base=LAW&amp;n=489693&amp;dst=100005" TargetMode="External"/><Relationship Id="rId21" Type="http://schemas.openxmlformats.org/officeDocument/2006/relationships/hyperlink" Target="https://login.consultant.ru/link/?req=doc&amp;base=LAW&amp;n=296276&amp;dst=100086" TargetMode="External"/><Relationship Id="rId34" Type="http://schemas.openxmlformats.org/officeDocument/2006/relationships/hyperlink" Target="https://login.consultant.ru/link/?req=doc&amp;base=LAW&amp;n=516657&amp;dst=100047" TargetMode="External"/><Relationship Id="rId42" Type="http://schemas.openxmlformats.org/officeDocument/2006/relationships/hyperlink" Target="https://login.consultant.ru/link/?req=doc&amp;base=LAW&amp;n=510523&amp;dst=100067" TargetMode="External"/><Relationship Id="rId47" Type="http://schemas.openxmlformats.org/officeDocument/2006/relationships/hyperlink" Target="https://login.consultant.ru/link/?req=doc&amp;base=LAW&amp;n=499812&amp;dst=100007" TargetMode="External"/><Relationship Id="rId50" Type="http://schemas.openxmlformats.org/officeDocument/2006/relationships/hyperlink" Target="https://login.consultant.ru/link/?req=doc&amp;base=LAW&amp;n=499812&amp;dst=100007" TargetMode="External"/><Relationship Id="rId55" Type="http://schemas.openxmlformats.org/officeDocument/2006/relationships/hyperlink" Target="https://login.consultant.ru/link/?req=doc&amp;base=LAW&amp;n=504083&amp;dst=10000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0041&amp;dst=100015" TargetMode="External"/><Relationship Id="rId29" Type="http://schemas.openxmlformats.org/officeDocument/2006/relationships/hyperlink" Target="https://login.consultant.ru/link/?req=doc&amp;base=LAW&amp;n=460488&amp;dst=100036" TargetMode="External"/><Relationship Id="rId11" Type="http://schemas.openxmlformats.org/officeDocument/2006/relationships/hyperlink" Target="https://login.consultant.ru/link/?req=doc&amp;base=LAW&amp;n=506200&amp;dst=100104" TargetMode="External"/><Relationship Id="rId24" Type="http://schemas.openxmlformats.org/officeDocument/2006/relationships/hyperlink" Target="https://login.consultant.ru/link/?req=doc&amp;base=LAW&amp;n=460488&amp;dst=100677" TargetMode="External"/><Relationship Id="rId32" Type="http://schemas.openxmlformats.org/officeDocument/2006/relationships/hyperlink" Target="https://login.consultant.ru/link/?req=doc&amp;base=LAW&amp;n=516657&amp;dst=100031" TargetMode="External"/><Relationship Id="rId37" Type="http://schemas.openxmlformats.org/officeDocument/2006/relationships/hyperlink" Target="https://login.consultant.ru/link/?req=doc&amp;base=LAW&amp;n=518016&amp;dst=100005" TargetMode="External"/><Relationship Id="rId40" Type="http://schemas.openxmlformats.org/officeDocument/2006/relationships/hyperlink" Target="https://login.consultant.ru/link/?req=doc&amp;base=LAW&amp;n=510523&amp;dst=100044" TargetMode="External"/><Relationship Id="rId45" Type="http://schemas.openxmlformats.org/officeDocument/2006/relationships/hyperlink" Target="https://login.consultant.ru/link/?req=doc&amp;base=LAW&amp;n=510523&amp;dst=100050" TargetMode="External"/><Relationship Id="rId53" Type="http://schemas.openxmlformats.org/officeDocument/2006/relationships/hyperlink" Target="https://login.consultant.ru/link/?req=doc&amp;base=LAW&amp;n=514239&amp;dst=100004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10041&amp;dst=100015" TargetMode="External"/><Relationship Id="rId14" Type="http://schemas.openxmlformats.org/officeDocument/2006/relationships/hyperlink" Target="https://login.consultant.ru/link/?req=doc&amp;base=LAW&amp;n=516719&amp;dst=6845" TargetMode="External"/><Relationship Id="rId22" Type="http://schemas.openxmlformats.org/officeDocument/2006/relationships/hyperlink" Target="https://login.consultant.ru/link/?req=doc&amp;base=LAW&amp;n=460488&amp;dst=100007" TargetMode="External"/><Relationship Id="rId27" Type="http://schemas.openxmlformats.org/officeDocument/2006/relationships/hyperlink" Target="https://login.consultant.ru/link/?req=doc&amp;base=LAW&amp;n=460488&amp;dst=101963" TargetMode="External"/><Relationship Id="rId30" Type="http://schemas.openxmlformats.org/officeDocument/2006/relationships/hyperlink" Target="https://login.consultant.ru/link/?req=doc&amp;base=LAW&amp;n=516657&amp;dst=100017" TargetMode="External"/><Relationship Id="rId35" Type="http://schemas.openxmlformats.org/officeDocument/2006/relationships/hyperlink" Target="https://login.consultant.ru/link/?req=doc&amp;base=LAW&amp;n=516657&amp;dst=100073" TargetMode="External"/><Relationship Id="rId43" Type="http://schemas.openxmlformats.org/officeDocument/2006/relationships/hyperlink" Target="https://login.consultant.ru/link/?req=doc&amp;base=LAW&amp;n=517878&amp;dst=100007" TargetMode="External"/><Relationship Id="rId48" Type="http://schemas.openxmlformats.org/officeDocument/2006/relationships/hyperlink" Target="https://login.consultant.ru/link/?req=doc&amp;base=LAW&amp;n=512532&amp;dst=100004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512532&amp;dst=10000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1812&amp;dst=100019" TargetMode="External"/><Relationship Id="rId17" Type="http://schemas.openxmlformats.org/officeDocument/2006/relationships/hyperlink" Target="https://login.consultant.ru/link/?req=doc&amp;base=LAW&amp;n=482529&amp;dst=100014" TargetMode="External"/><Relationship Id="rId25" Type="http://schemas.openxmlformats.org/officeDocument/2006/relationships/hyperlink" Target="https://login.consultant.ru/link/?req=doc&amp;base=LAW&amp;n=460488&amp;dst=101289" TargetMode="External"/><Relationship Id="rId33" Type="http://schemas.openxmlformats.org/officeDocument/2006/relationships/hyperlink" Target="https://login.consultant.ru/link/?req=doc&amp;base=LAW&amp;n=442879&amp;dst=5" TargetMode="External"/><Relationship Id="rId38" Type="http://schemas.openxmlformats.org/officeDocument/2006/relationships/hyperlink" Target="https://login.consultant.ru/link/?req=doc&amp;base=LAW&amp;n=518016&amp;dst=100005" TargetMode="External"/><Relationship Id="rId46" Type="http://schemas.openxmlformats.org/officeDocument/2006/relationships/hyperlink" Target="https://login.consultant.ru/link/?req=doc&amp;base=LAW&amp;n=510523&amp;dst=100051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PNPA&amp;n=116445&amp;dst=100013" TargetMode="External"/><Relationship Id="rId41" Type="http://schemas.openxmlformats.org/officeDocument/2006/relationships/hyperlink" Target="https://login.consultant.ru/link/?req=doc&amp;base=LAW&amp;n=510523&amp;dst=100044" TargetMode="External"/><Relationship Id="rId54" Type="http://schemas.openxmlformats.org/officeDocument/2006/relationships/hyperlink" Target="https://login.consultant.ru/link/?req=doc&amp;base=LAW&amp;n=504083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529&amp;dst=100014" TargetMode="External"/><Relationship Id="rId23" Type="http://schemas.openxmlformats.org/officeDocument/2006/relationships/hyperlink" Target="https://login.consultant.ru/link/?req=doc&amp;base=LAW&amp;n=460488&amp;dst=100043" TargetMode="External"/><Relationship Id="rId28" Type="http://schemas.openxmlformats.org/officeDocument/2006/relationships/hyperlink" Target="https://login.consultant.ru/link/?req=doc&amp;base=LAW&amp;n=460488&amp;dst=100018" TargetMode="External"/><Relationship Id="rId36" Type="http://schemas.openxmlformats.org/officeDocument/2006/relationships/hyperlink" Target="https://login.consultant.ru/link/?req=doc&amp;base=LAW&amp;n=516657&amp;dst=100133" TargetMode="External"/><Relationship Id="rId49" Type="http://schemas.openxmlformats.org/officeDocument/2006/relationships/hyperlink" Target="https://login.consultant.ru/link/?req=doc&amp;base=LAW&amp;n=514239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6200&amp;dst=100062" TargetMode="External"/><Relationship Id="rId31" Type="http://schemas.openxmlformats.org/officeDocument/2006/relationships/hyperlink" Target="https://login.consultant.ru/link/?req=doc&amp;base=LAW&amp;n=516657&amp;dst=100022" TargetMode="External"/><Relationship Id="rId44" Type="http://schemas.openxmlformats.org/officeDocument/2006/relationships/hyperlink" Target="https://login.consultant.ru/link/?req=doc&amp;base=LAW&amp;n=517878&amp;dst=100017" TargetMode="External"/><Relationship Id="rId52" Type="http://schemas.openxmlformats.org/officeDocument/2006/relationships/hyperlink" Target="https://login.consultant.ru/link/?req=doc&amp;base=LAW&amp;n=502129&amp;dst=100016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200&amp;dst=1000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E378-47B1-4A79-B95D-3FBADC80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1AD54102</Template>
  <TotalTime>1</TotalTime>
  <Pages>4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2025-11-07T09:28:00Z</dcterms:created>
  <dcterms:modified xsi:type="dcterms:W3CDTF">2025-11-07T09:28:00Z</dcterms:modified>
</cp:coreProperties>
</file>