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6" w:rsidRPr="00B13FB6" w:rsidRDefault="00B13FB6" w:rsidP="00B13FB6">
      <w:pPr>
        <w:pStyle w:val="ConsPlusTitle"/>
        <w:spacing w:before="280" w:after="240"/>
        <w:jc w:val="center"/>
        <w:rPr>
          <w:rFonts w:ascii="Arial" w:hAnsi="Arial" w:cs="Arial"/>
          <w:color w:val="2F5496"/>
          <w:sz w:val="28"/>
          <w:szCs w:val="28"/>
        </w:rPr>
      </w:pPr>
      <w:bookmarkStart w:id="0" w:name="_GoBack"/>
      <w:r w:rsidRPr="00B13FB6">
        <w:rPr>
          <w:rFonts w:ascii="Arial" w:hAnsi="Arial" w:cs="Arial"/>
          <w:color w:val="2F5496"/>
          <w:sz w:val="28"/>
          <w:szCs w:val="28"/>
        </w:rPr>
        <w:t>НАЛОГИ И ОТЧЕТНОСТЬ В МАРТЕ 2025 ГОДА: ОСНОВНЫЕ ИЗМЕНЕНИЯ</w:t>
      </w:r>
    </w:p>
    <w:bookmarkEnd w:id="0"/>
    <w:p w:rsidR="00B13FB6" w:rsidRPr="00B13FB6" w:rsidRDefault="00B13FB6" w:rsidP="00B13FB6">
      <w:pPr>
        <w:pStyle w:val="ConsPlusNormal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r w:rsidRPr="00B13FB6">
        <w:t>Не позднее 25 марта организации должны подать декларацию по УСН по обновленной форме. С 1 марта инспекции не принимают доверенности по формату 5.01. Срок действия старого формата счета-фактуры и УПД заканчивается 31 марта. Об этих и других изменениях - в обзоре.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r w:rsidRPr="00B13FB6">
        <w:t xml:space="preserve">- </w:t>
      </w:r>
      <w:hyperlink w:anchor="P13">
        <w:r w:rsidRPr="00B13FB6">
          <w:rPr>
            <w:color w:val="0000FF"/>
          </w:rPr>
          <w:t>Декларация по УСН</w:t>
        </w:r>
      </w:hyperlink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</w:t>
      </w:r>
      <w:hyperlink w:anchor="P20">
        <w:r w:rsidRPr="00B13FB6">
          <w:rPr>
            <w:color w:val="0000FF"/>
          </w:rPr>
          <w:t>Формат электронной доверенности</w:t>
        </w:r>
      </w:hyperlink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</w:t>
      </w:r>
      <w:hyperlink w:anchor="P24">
        <w:r w:rsidRPr="00B13FB6">
          <w:rPr>
            <w:color w:val="0000FF"/>
          </w:rPr>
          <w:t>Формат счета-фактуры и УПД</w:t>
        </w:r>
      </w:hyperlink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</w:t>
      </w:r>
      <w:hyperlink w:anchor="P28">
        <w:r w:rsidRPr="00B13FB6">
          <w:rPr>
            <w:color w:val="0000FF"/>
          </w:rPr>
          <w:t>Формат электронного счета на оплату</w:t>
        </w:r>
      </w:hyperlink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</w:t>
      </w:r>
      <w:hyperlink w:anchor="P32">
        <w:r w:rsidRPr="00B13FB6">
          <w:rPr>
            <w:color w:val="0000FF"/>
          </w:rPr>
          <w:t>Выездные проверки ИТ-компаний</w:t>
        </w:r>
      </w:hyperlink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</w:t>
      </w:r>
      <w:hyperlink w:anchor="P36">
        <w:r w:rsidRPr="00B13FB6">
          <w:rPr>
            <w:color w:val="0000FF"/>
          </w:rPr>
          <w:t>Регистрация и применение ККТ</w:t>
        </w:r>
      </w:hyperlink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Title"/>
        <w:spacing w:before="120" w:after="120"/>
        <w:ind w:firstLine="539"/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P13"/>
      <w:bookmarkEnd w:id="1"/>
      <w:r w:rsidRPr="00B13FB6">
        <w:rPr>
          <w:rFonts w:ascii="Arial" w:hAnsi="Arial" w:cs="Arial"/>
          <w:sz w:val="20"/>
          <w:szCs w:val="20"/>
        </w:rPr>
        <w:t>Декларация по УСН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r w:rsidRPr="00B13FB6">
        <w:t xml:space="preserve">Декларацию по УСН за 2024 год нужно сдать по </w:t>
      </w:r>
      <w:hyperlink r:id="rId8">
        <w:r w:rsidRPr="00B13FB6">
          <w:rPr>
            <w:color w:val="0000FF"/>
          </w:rPr>
          <w:t>новой форме</w:t>
        </w:r>
      </w:hyperlink>
      <w:r w:rsidRPr="00B13FB6">
        <w:t>. Обновили форму, </w:t>
      </w:r>
      <w:hyperlink r:id="rId9">
        <w:r w:rsidRPr="00B13FB6">
          <w:rPr>
            <w:color w:val="0000FF"/>
          </w:rPr>
          <w:t>порядок заполнения</w:t>
        </w:r>
      </w:hyperlink>
      <w:r w:rsidRPr="00B13FB6">
        <w:t xml:space="preserve"> и </w:t>
      </w:r>
      <w:hyperlink r:id="rId10">
        <w:r w:rsidRPr="00B13FB6">
          <w:rPr>
            <w:color w:val="0000FF"/>
          </w:rPr>
          <w:t>формат подачи</w:t>
        </w:r>
      </w:hyperlink>
      <w:r w:rsidRPr="00B13FB6">
        <w:t>. Изменения в основном технические. Выделим такие: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в титульный лист добавили </w:t>
      </w:r>
      <w:hyperlink r:id="rId11">
        <w:r w:rsidRPr="00B13FB6">
          <w:rPr>
            <w:color w:val="0000FF"/>
          </w:rPr>
          <w:t>поле</w:t>
        </w:r>
      </w:hyperlink>
      <w:r w:rsidRPr="00B13FB6">
        <w:t>, в котором нужно указывать объект обложения "1" (доходы) или "2" (доходы минус расходы);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обновили порядок заполнения поля "Достоверность и полноту сведений, указанных в настоящей декларации, подтверждаю". Так, для электронной доверенности в поле </w:t>
      </w:r>
      <w:hyperlink r:id="rId12">
        <w:r w:rsidRPr="00B13FB6">
          <w:rPr>
            <w:color w:val="0000FF"/>
          </w:rPr>
          <w:t>нужно приводить</w:t>
        </w:r>
      </w:hyperlink>
      <w:r w:rsidRPr="00B13FB6">
        <w:t xml:space="preserve"> ее GUID;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 xml:space="preserve">- изменили </w:t>
      </w:r>
      <w:proofErr w:type="spellStart"/>
      <w:r w:rsidRPr="00B13FB6">
        <w:t>штрихкоды</w:t>
      </w:r>
      <w:proofErr w:type="spellEnd"/>
      <w:r w:rsidRPr="00B13FB6">
        <w:t>.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>Срок сдачи: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>по общему правилу - организации - не позднее 25 марта года, следующего за истекшим налоговым периодом, индивидуальные предприниматели - не позднее 25 апреля года, следующего за истекшим налоговым периодом;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>при прекращении предпринимательской деятельности, в отношении которой применялась упрощенная система налогообложения - не позднее 25-го числа месяца, следующего за месяцем, в котором согласно уведомлению, представленному в налоговый орган в соответствии с пунктом 8 статьи 346.13 НК РФ, указанная деятельность прекращена;</w:t>
      </w:r>
    </w:p>
    <w:p w:rsidR="00B13FB6" w:rsidRPr="00B13FB6" w:rsidRDefault="00B13FB6" w:rsidP="00B13FB6">
      <w:pPr>
        <w:pStyle w:val="ConsPlusNormal"/>
        <w:spacing w:before="220"/>
        <w:ind w:firstLine="540"/>
        <w:jc w:val="both"/>
      </w:pPr>
      <w:r w:rsidRPr="00B13FB6">
        <w:t>при утрате права на применение упрощенной системы налогообложения - не позднее 25-го числа месяца, следующего за кварталом, в котором на основании пункта 4 статьи 346.13 НК РФ налогоплательщик утратил право применять упрощенную систему налогообложения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Title"/>
        <w:spacing w:before="120" w:after="120"/>
        <w:ind w:firstLine="539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P20"/>
      <w:bookmarkEnd w:id="2"/>
      <w:r w:rsidRPr="00B13FB6">
        <w:rPr>
          <w:rFonts w:ascii="Arial" w:hAnsi="Arial" w:cs="Arial"/>
          <w:sz w:val="20"/>
          <w:szCs w:val="20"/>
        </w:rPr>
        <w:t>Формат электронной доверенности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hyperlink r:id="rId13">
        <w:r w:rsidRPr="00B13FB6">
          <w:rPr>
            <w:color w:val="0000FF"/>
          </w:rPr>
          <w:t>С 1 марта</w:t>
        </w:r>
      </w:hyperlink>
      <w:r w:rsidRPr="00B13FB6">
        <w:t xml:space="preserve"> инспекции не принимают доверенности по </w:t>
      </w:r>
      <w:hyperlink r:id="rId14">
        <w:r w:rsidRPr="00B13FB6">
          <w:rPr>
            <w:color w:val="0000FF"/>
          </w:rPr>
          <w:t>формату 5.01</w:t>
        </w:r>
      </w:hyperlink>
      <w:r w:rsidRPr="00B13FB6">
        <w:t xml:space="preserve">. С этой даты можно применять только новый формат, который обновили до </w:t>
      </w:r>
      <w:hyperlink r:id="rId15">
        <w:r w:rsidRPr="00B13FB6">
          <w:rPr>
            <w:color w:val="0000FF"/>
          </w:rPr>
          <w:t>версии 5.03</w:t>
        </w:r>
      </w:hyperlink>
      <w:r w:rsidRPr="00B13FB6">
        <w:t xml:space="preserve">. Уже принятые налоговиками доверенности в форматах 5.01 и 5.02 </w:t>
      </w:r>
      <w:hyperlink r:id="rId16">
        <w:r w:rsidRPr="00B13FB6">
          <w:rPr>
            <w:color w:val="0000FF"/>
          </w:rPr>
          <w:t>продолжают действовать</w:t>
        </w:r>
      </w:hyperlink>
      <w:r w:rsidRPr="00B13FB6">
        <w:t>. Изменение формата на их действие не влияет.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3" w:name="P24"/>
      <w:bookmarkEnd w:id="3"/>
    </w:p>
    <w:p w:rsid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lastRenderedPageBreak/>
        <w:t>Формат счета-фактуры и УПД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hyperlink r:id="rId17">
        <w:r w:rsidRPr="00B13FB6">
          <w:rPr>
            <w:color w:val="0000FF"/>
          </w:rPr>
          <w:t>31 марта</w:t>
        </w:r>
      </w:hyperlink>
      <w:r w:rsidRPr="00B13FB6">
        <w:t xml:space="preserve"> истекает срок, в течение которого можно было создавать документы с помощью старого и нового формата. С 1 апреля использовать формат </w:t>
      </w:r>
      <w:hyperlink r:id="rId18">
        <w:r w:rsidRPr="00B13FB6">
          <w:rPr>
            <w:color w:val="0000FF"/>
          </w:rPr>
          <w:t>версии 5.01</w:t>
        </w:r>
      </w:hyperlink>
      <w:r w:rsidRPr="00B13FB6">
        <w:t xml:space="preserve"> нельзя. С этой даты применяют только новый формат, который изменили до </w:t>
      </w:r>
      <w:hyperlink r:id="rId19">
        <w:r w:rsidRPr="00B13FB6">
          <w:rPr>
            <w:color w:val="0000FF"/>
          </w:rPr>
          <w:t>версии 5.03</w:t>
        </w:r>
      </w:hyperlink>
      <w:r w:rsidRPr="00B13FB6">
        <w:t xml:space="preserve">. В нем скорректировали ряд строк. Например, в </w:t>
      </w:r>
      <w:hyperlink r:id="rId20">
        <w:r w:rsidRPr="00B13FB6">
          <w:rPr>
            <w:color w:val="0000FF"/>
          </w:rPr>
          <w:t>строку</w:t>
        </w:r>
      </w:hyperlink>
      <w:r w:rsidRPr="00B13FB6">
        <w:t xml:space="preserve"> "Налоговая ставка (</w:t>
      </w:r>
      <w:hyperlink r:id="rId21">
        <w:r w:rsidRPr="00B13FB6">
          <w:rPr>
            <w:color w:val="0000FF"/>
          </w:rPr>
          <w:t>графа 7</w:t>
        </w:r>
      </w:hyperlink>
      <w:r w:rsidRPr="00B13FB6">
        <w:t xml:space="preserve"> счета-фактуры)" таблицы 5.13 </w:t>
      </w:r>
      <w:hyperlink r:id="rId22">
        <w:r w:rsidRPr="00B13FB6">
          <w:rPr>
            <w:color w:val="0000FF"/>
          </w:rPr>
          <w:t>добавили</w:t>
        </w:r>
      </w:hyperlink>
      <w:r w:rsidRPr="00B13FB6">
        <w:t xml:space="preserve"> значения ставок НДС: 5%, 7%, 9,09%, 16,67%, 5/105, 7/107.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4" w:name="P28"/>
      <w:bookmarkEnd w:id="4"/>
      <w:r w:rsidRPr="00B13FB6">
        <w:rPr>
          <w:rFonts w:ascii="Arial" w:hAnsi="Arial" w:cs="Arial"/>
          <w:sz w:val="20"/>
          <w:szCs w:val="20"/>
        </w:rPr>
        <w:t>Формат электронного счета на оплату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r w:rsidRPr="00B13FB6">
        <w:t xml:space="preserve">С 20 марта действует </w:t>
      </w:r>
      <w:hyperlink r:id="rId23">
        <w:r w:rsidRPr="00B13FB6">
          <w:rPr>
            <w:color w:val="0000FF"/>
          </w:rPr>
          <w:t>формат</w:t>
        </w:r>
      </w:hyperlink>
      <w:r w:rsidRPr="00B13FB6">
        <w:t xml:space="preserve"> представления электронного счета на оплату. Документ описывает требования к XML-файлу передачи по ТКС такого счета.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5" w:name="P32"/>
      <w:bookmarkEnd w:id="5"/>
      <w:r w:rsidRPr="00B13FB6">
        <w:rPr>
          <w:rFonts w:ascii="Arial" w:hAnsi="Arial" w:cs="Arial"/>
          <w:sz w:val="20"/>
          <w:szCs w:val="20"/>
        </w:rPr>
        <w:t>Выездные проверки ИТ-компаний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Normal"/>
        <w:ind w:firstLine="540"/>
        <w:jc w:val="both"/>
      </w:pPr>
      <w:hyperlink r:id="rId24">
        <w:r w:rsidRPr="00B13FB6">
          <w:rPr>
            <w:color w:val="0000FF"/>
          </w:rPr>
          <w:t>С 4 марта</w:t>
        </w:r>
      </w:hyperlink>
      <w:r w:rsidRPr="00B13FB6">
        <w:t xml:space="preserve"> перестает действовать приостановка выездных проверок ИТ-компаний. Это касается и повторных проверок. Мораторий вводили для компаний с аккредитацией. Он </w:t>
      </w:r>
      <w:hyperlink r:id="rId25">
        <w:r w:rsidRPr="00B13FB6">
          <w:rPr>
            <w:color w:val="0000FF"/>
          </w:rPr>
          <w:t>не распространялся</w:t>
        </w:r>
      </w:hyperlink>
      <w:r w:rsidRPr="00B13FB6">
        <w:t xml:space="preserve"> на контрольные мероприятия, которые назначают с согласия руководства вышестоящего налогового органа или ФНС.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pStyle w:val="ConsPlusTitle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6" w:name="P36"/>
      <w:bookmarkEnd w:id="6"/>
      <w:r w:rsidRPr="00B13FB6">
        <w:rPr>
          <w:rFonts w:ascii="Arial" w:hAnsi="Arial" w:cs="Arial"/>
          <w:sz w:val="20"/>
          <w:szCs w:val="20"/>
        </w:rPr>
        <w:t>Регистрация и применение ККТ</w:t>
      </w:r>
    </w:p>
    <w:p w:rsidR="00B13FB6" w:rsidRPr="00B13FB6" w:rsidRDefault="00B13FB6" w:rsidP="00B13FB6">
      <w:pPr>
        <w:pStyle w:val="ConsPlusNormal"/>
        <w:ind w:firstLine="540"/>
        <w:jc w:val="both"/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С 1 марта 2025 года изменится процедура регистрации, перерегистрации и снятия с учета ККТ. Ее потребуется применять при расчетах через СБП. Направить чек покупателю можно будет через информресурс ФНС. Об этих и других изменениях - в обзоре.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w:anchor="P12">
        <w:r w:rsidRPr="00B13FB6">
          <w:rPr>
            <w:rFonts w:ascii="Arial" w:hAnsi="Arial" w:cs="Arial"/>
            <w:color w:val="0000FF"/>
            <w:sz w:val="20"/>
            <w:szCs w:val="20"/>
          </w:rPr>
          <w:t>Регистрация, перерегистрация и снятие с учета ККТ</w:t>
        </w:r>
      </w:hyperlink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w:anchor="P29">
        <w:r w:rsidRPr="00B13FB6">
          <w:rPr>
            <w:rFonts w:ascii="Arial" w:hAnsi="Arial" w:cs="Arial"/>
            <w:color w:val="0000FF"/>
            <w:sz w:val="20"/>
            <w:szCs w:val="20"/>
          </w:rPr>
          <w:t>Применение ККТ</w:t>
        </w:r>
      </w:hyperlink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w:anchor="P49">
        <w:r w:rsidRPr="00B13FB6">
          <w:rPr>
            <w:rFonts w:ascii="Arial" w:hAnsi="Arial" w:cs="Arial"/>
            <w:color w:val="0000FF"/>
            <w:sz w:val="20"/>
            <w:szCs w:val="20"/>
          </w:rPr>
          <w:t>Передача чека (БСО) покупателю</w:t>
        </w:r>
      </w:hyperlink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w:anchor="P58">
        <w:r w:rsidRPr="00B13FB6">
          <w:rPr>
            <w:rFonts w:ascii="Arial" w:hAnsi="Arial" w:cs="Arial"/>
            <w:color w:val="0000FF"/>
            <w:sz w:val="20"/>
            <w:szCs w:val="20"/>
          </w:rPr>
          <w:t>Требования к ККТ и фискальному накопителю</w:t>
        </w:r>
      </w:hyperlink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w:anchor="P66">
        <w:r w:rsidRPr="00B13FB6">
          <w:rPr>
            <w:rFonts w:ascii="Arial" w:hAnsi="Arial" w:cs="Arial"/>
            <w:color w:val="0000FF"/>
            <w:sz w:val="20"/>
            <w:szCs w:val="20"/>
          </w:rPr>
          <w:t>Прочие изменения</w:t>
        </w:r>
      </w:hyperlink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7" w:name="P12"/>
      <w:bookmarkEnd w:id="7"/>
      <w:r w:rsidRPr="00B13FB6">
        <w:rPr>
          <w:rFonts w:ascii="Arial" w:hAnsi="Arial" w:cs="Arial"/>
          <w:b/>
          <w:sz w:val="20"/>
          <w:szCs w:val="20"/>
        </w:rPr>
        <w:t>Регистрация, перерегистрация и снятие с учета ККТ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Пользователь вправе: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при регистрации ККТ не передавать </w:t>
      </w:r>
      <w:hyperlink r:id="rId26">
        <w:r w:rsidRPr="00B13FB6"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 w:rsidRPr="00B13FB6">
        <w:rPr>
          <w:rFonts w:ascii="Arial" w:hAnsi="Arial" w:cs="Arial"/>
          <w:sz w:val="20"/>
          <w:szCs w:val="20"/>
        </w:rPr>
        <w:t xml:space="preserve"> из отчета о регистрации, если он </w:t>
      </w:r>
      <w:hyperlink r:id="rId27">
        <w:r w:rsidRPr="00B13FB6">
          <w:rPr>
            <w:rFonts w:ascii="Arial" w:hAnsi="Arial" w:cs="Arial"/>
            <w:color w:val="0000FF"/>
            <w:sz w:val="20"/>
            <w:szCs w:val="20"/>
          </w:rPr>
          <w:t>направит</w:t>
        </w:r>
      </w:hyperlink>
      <w:r w:rsidRPr="00B13FB6">
        <w:rPr>
          <w:rFonts w:ascii="Arial" w:hAnsi="Arial" w:cs="Arial"/>
          <w:sz w:val="20"/>
          <w:szCs w:val="20"/>
        </w:rPr>
        <w:t xml:space="preserve"> его в инспекцию в электронной форме через оператора фискальных данных;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при перерегистрации ККТ не подавать заявление о регистрации (перерегистрации) ККТ, если </w:t>
      </w:r>
      <w:hyperlink r:id="rId28">
        <w:r w:rsidRPr="00B13FB6">
          <w:rPr>
            <w:rFonts w:ascii="Arial" w:hAnsi="Arial" w:cs="Arial"/>
            <w:color w:val="0000FF"/>
            <w:sz w:val="20"/>
            <w:szCs w:val="20"/>
          </w:rPr>
          <w:t>направит</w:t>
        </w:r>
      </w:hyperlink>
      <w:r w:rsidRPr="00B13FB6">
        <w:rPr>
          <w:rFonts w:ascii="Arial" w:hAnsi="Arial" w:cs="Arial"/>
          <w:sz w:val="20"/>
          <w:szCs w:val="20"/>
        </w:rPr>
        <w:t xml:space="preserve"> через оператора отчет об изменении параметров регистрации.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Такое возможно при регистрации (перерегистрации) ККТ, которую применяют в режиме передачи в инспекцию фискальных данных в электронной форме через оператора. Датой получения обоих отчетов признают дату их передачи оператору.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ФНС </w:t>
      </w:r>
      <w:hyperlink r:id="rId29">
        <w:r w:rsidRPr="00B13FB6">
          <w:rPr>
            <w:rFonts w:ascii="Arial" w:hAnsi="Arial" w:cs="Arial"/>
            <w:color w:val="0000FF"/>
            <w:sz w:val="20"/>
            <w:szCs w:val="20"/>
          </w:rPr>
          <w:t>пояснила</w:t>
        </w:r>
      </w:hyperlink>
      <w:r w:rsidRPr="00B13FB6">
        <w:rPr>
          <w:rFonts w:ascii="Arial" w:hAnsi="Arial" w:cs="Arial"/>
          <w:sz w:val="20"/>
          <w:szCs w:val="20"/>
        </w:rPr>
        <w:t xml:space="preserve">: после того как пользователь получит регистрационный номер, он вводит его в ККТ и формирует отчет о регистрации. Данные отчета налоговики получат через оператора. Если нет ошибок, сформируют карточку регистрации ККТ. Иначе в регистрации ККТ откажут и заявление о регистрации нужно подать в </w:t>
      </w:r>
      <w:hyperlink r:id="rId30">
        <w:r w:rsidRPr="00B13FB6">
          <w:rPr>
            <w:rFonts w:ascii="Arial" w:hAnsi="Arial" w:cs="Arial"/>
            <w:color w:val="0000FF"/>
            <w:sz w:val="20"/>
            <w:szCs w:val="20"/>
          </w:rPr>
          <w:t>обычном порядке</w:t>
        </w:r>
      </w:hyperlink>
      <w:r w:rsidRPr="00B13FB6">
        <w:rPr>
          <w:rFonts w:ascii="Arial" w:hAnsi="Arial" w:cs="Arial"/>
          <w:sz w:val="20"/>
          <w:szCs w:val="20"/>
        </w:rPr>
        <w:t>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Когда пользователь перерегистрирует ККТ, отчеты о закрытии фискального накопителя и о перерегистрации ККТ при замене такого накопителя ФНС </w:t>
      </w:r>
      <w:hyperlink r:id="rId31">
        <w:r w:rsidRPr="00B13FB6">
          <w:rPr>
            <w:rFonts w:ascii="Arial" w:hAnsi="Arial" w:cs="Arial"/>
            <w:color w:val="0000FF"/>
            <w:sz w:val="20"/>
            <w:szCs w:val="20"/>
          </w:rPr>
          <w:t>получит</w:t>
        </w:r>
      </w:hyperlink>
      <w:r w:rsidRPr="00B13FB6">
        <w:rPr>
          <w:rFonts w:ascii="Arial" w:hAnsi="Arial" w:cs="Arial"/>
          <w:sz w:val="20"/>
          <w:szCs w:val="20"/>
        </w:rPr>
        <w:t xml:space="preserve"> через оператора. Если нет ошибок, сформируют обновленную карточку регистрации ККТ. Иначе придет отказ и придется подать заявление в </w:t>
      </w:r>
      <w:hyperlink r:id="rId32">
        <w:r w:rsidRPr="00B13FB6">
          <w:rPr>
            <w:rFonts w:ascii="Arial" w:hAnsi="Arial" w:cs="Arial"/>
            <w:color w:val="0000FF"/>
            <w:sz w:val="20"/>
            <w:szCs w:val="20"/>
          </w:rPr>
          <w:t>обычном порядке</w:t>
        </w:r>
      </w:hyperlink>
      <w:r w:rsidRPr="00B13FB6">
        <w:rPr>
          <w:rFonts w:ascii="Arial" w:hAnsi="Arial" w:cs="Arial"/>
          <w:sz w:val="20"/>
          <w:szCs w:val="20"/>
        </w:rPr>
        <w:t>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Без заявления нельзя перерегистрировать ККТ из-за замены фискального накопителя в таких случаях: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накопитель какое-то время </w:t>
      </w:r>
      <w:hyperlink r:id="rId33">
        <w:r w:rsidRPr="00B13FB6">
          <w:rPr>
            <w:rFonts w:ascii="Arial" w:hAnsi="Arial" w:cs="Arial"/>
            <w:color w:val="0000FF"/>
            <w:sz w:val="20"/>
            <w:szCs w:val="20"/>
          </w:rPr>
          <w:t>работал</w:t>
        </w:r>
      </w:hyperlink>
      <w:r w:rsidRPr="00B13FB6">
        <w:rPr>
          <w:rFonts w:ascii="Arial" w:hAnsi="Arial" w:cs="Arial"/>
          <w:sz w:val="20"/>
          <w:szCs w:val="20"/>
        </w:rPr>
        <w:t xml:space="preserve"> в режиме, который не предусматривает обязательную передачу фискальных документов в инспекцию в электронной форме через оператора;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lastRenderedPageBreak/>
        <w:t xml:space="preserve">- прежний фискальный накопитель </w:t>
      </w:r>
      <w:hyperlink r:id="rId34">
        <w:r w:rsidRPr="00B13FB6">
          <w:rPr>
            <w:rFonts w:ascii="Arial" w:hAnsi="Arial" w:cs="Arial"/>
            <w:color w:val="0000FF"/>
            <w:sz w:val="20"/>
            <w:szCs w:val="20"/>
          </w:rPr>
          <w:t>был сломан</w:t>
        </w:r>
      </w:hyperlink>
      <w:r w:rsidRPr="00B13FB6">
        <w:rPr>
          <w:rFonts w:ascii="Arial" w:hAnsi="Arial" w:cs="Arial"/>
          <w:sz w:val="20"/>
          <w:szCs w:val="20"/>
        </w:rPr>
        <w:t xml:space="preserve"> и на нем нельзя сформировать отчет о закрытии архива такого накопителя.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Также без заявления </w:t>
      </w:r>
      <w:hyperlink r:id="rId35">
        <w:r w:rsidRPr="00B13FB6">
          <w:rPr>
            <w:rFonts w:ascii="Arial" w:hAnsi="Arial" w:cs="Arial"/>
            <w:color w:val="0000FF"/>
            <w:sz w:val="20"/>
            <w:szCs w:val="20"/>
          </w:rPr>
          <w:t>не перерегистрируют</w:t>
        </w:r>
      </w:hyperlink>
      <w:r w:rsidRPr="00B13FB6">
        <w:rPr>
          <w:rFonts w:ascii="Arial" w:hAnsi="Arial" w:cs="Arial"/>
          <w:sz w:val="20"/>
          <w:szCs w:val="20"/>
        </w:rPr>
        <w:t xml:space="preserve"> ККТ по иным причинам для изменения признаков применения ККТ, которых нет в фискальном документе - отчете об изменении параметров регистрации.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Регистрация и перерегистрация ККТ </w:t>
      </w:r>
      <w:hyperlink r:id="rId36">
        <w:r w:rsidRPr="00B13FB6">
          <w:rPr>
            <w:rFonts w:ascii="Arial" w:hAnsi="Arial" w:cs="Arial"/>
            <w:color w:val="0000FF"/>
            <w:sz w:val="20"/>
            <w:szCs w:val="20"/>
          </w:rPr>
          <w:t>завершается</w:t>
        </w:r>
      </w:hyperlink>
      <w:r w:rsidRPr="00B13FB6">
        <w:rPr>
          <w:rFonts w:ascii="Arial" w:hAnsi="Arial" w:cs="Arial"/>
          <w:sz w:val="20"/>
          <w:szCs w:val="20"/>
        </w:rPr>
        <w:t xml:space="preserve"> только после того, как сформирована карточка о регистрации ККТ. Пользователь с помощью сервиса "Личный кабинет контрольно-кассовой техники" либо с помощью ОФД или ЕПГУ должен убедиться, что такая карточка сформирована. При перерегистрации ККТ без заявления карточку направят в сервис "Личный кабинет контрольно-кассовой техники". Если вместо карточки получен отказ, нужно перепроверить данные. Если все верно, но ошибка повторяется, заявление подают в обычном порядке.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Срок регистрации, перерегистрации и снятия с учета ККТ сокращают </w:t>
      </w:r>
      <w:hyperlink r:id="rId37">
        <w:r w:rsidRPr="00B13FB6">
          <w:rPr>
            <w:rFonts w:ascii="Arial" w:hAnsi="Arial" w:cs="Arial"/>
            <w:color w:val="0000FF"/>
            <w:sz w:val="20"/>
            <w:szCs w:val="20"/>
          </w:rPr>
          <w:t>с 10 до 5</w:t>
        </w:r>
      </w:hyperlink>
      <w:r w:rsidRPr="00B13FB6">
        <w:rPr>
          <w:rFonts w:ascii="Arial" w:hAnsi="Arial" w:cs="Arial"/>
          <w:sz w:val="20"/>
          <w:szCs w:val="20"/>
        </w:rPr>
        <w:t xml:space="preserve"> рабочих дней.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Вводят </w:t>
      </w:r>
      <w:hyperlink r:id="rId38">
        <w:r w:rsidRPr="00B13FB6">
          <w:rPr>
            <w:rFonts w:ascii="Arial" w:hAnsi="Arial" w:cs="Arial"/>
            <w:color w:val="0000FF"/>
            <w:sz w:val="20"/>
            <w:szCs w:val="20"/>
          </w:rPr>
          <w:t>новое правило</w:t>
        </w:r>
      </w:hyperlink>
      <w:r w:rsidRPr="00B13FB6">
        <w:rPr>
          <w:rFonts w:ascii="Arial" w:hAnsi="Arial" w:cs="Arial"/>
          <w:sz w:val="20"/>
          <w:szCs w:val="20"/>
        </w:rPr>
        <w:t xml:space="preserve">: налоговики снимут ККТ с учета без заявления пользователя, если последний не предоставит им доступ к ККТ, в </w:t>
      </w:r>
      <w:proofErr w:type="spellStart"/>
      <w:r w:rsidRPr="00B13FB6">
        <w:rPr>
          <w:rFonts w:ascii="Arial" w:hAnsi="Arial" w:cs="Arial"/>
          <w:sz w:val="20"/>
          <w:szCs w:val="20"/>
        </w:rPr>
        <w:t>т.ч</w:t>
      </w:r>
      <w:proofErr w:type="spellEnd"/>
      <w:r w:rsidRPr="00B13FB6">
        <w:rPr>
          <w:rFonts w:ascii="Arial" w:hAnsi="Arial" w:cs="Arial"/>
          <w:sz w:val="20"/>
          <w:szCs w:val="20"/>
        </w:rPr>
        <w:t xml:space="preserve">. для считывания фискальных данных из фискального накопителя при проверке. Повторно такую ККТ </w:t>
      </w:r>
      <w:hyperlink r:id="rId39">
        <w:r w:rsidRPr="00B13FB6">
          <w:rPr>
            <w:rFonts w:ascii="Arial" w:hAnsi="Arial" w:cs="Arial"/>
            <w:color w:val="0000FF"/>
            <w:sz w:val="20"/>
            <w:szCs w:val="20"/>
          </w:rPr>
          <w:t>зарегистрируют</w:t>
        </w:r>
      </w:hyperlink>
      <w:r w:rsidRPr="00B13FB6">
        <w:rPr>
          <w:rFonts w:ascii="Arial" w:hAnsi="Arial" w:cs="Arial"/>
          <w:sz w:val="20"/>
          <w:szCs w:val="20"/>
        </w:rPr>
        <w:t xml:space="preserve"> только после того, как инспекция получит к ней доступ.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Сведения о регистрации (перерегистрации) ККТ </w:t>
      </w:r>
      <w:hyperlink r:id="rId40">
        <w:r w:rsidRPr="00B13FB6">
          <w:rPr>
            <w:rFonts w:ascii="Arial" w:hAnsi="Arial" w:cs="Arial"/>
            <w:color w:val="0000FF"/>
            <w:sz w:val="20"/>
            <w:szCs w:val="20"/>
          </w:rPr>
          <w:t>проверяют</w:t>
        </w:r>
      </w:hyperlink>
      <w:r w:rsidRPr="00B13FB6">
        <w:rPr>
          <w:rFonts w:ascii="Arial" w:hAnsi="Arial" w:cs="Arial"/>
          <w:sz w:val="20"/>
          <w:szCs w:val="20"/>
        </w:rPr>
        <w:t xml:space="preserve"> на сайте ФНС, в </w:t>
      </w:r>
      <w:proofErr w:type="spellStart"/>
      <w:r w:rsidRPr="00B13FB6">
        <w:rPr>
          <w:rFonts w:ascii="Arial" w:hAnsi="Arial" w:cs="Arial"/>
          <w:sz w:val="20"/>
          <w:szCs w:val="20"/>
        </w:rPr>
        <w:t>т.ч</w:t>
      </w:r>
      <w:proofErr w:type="spellEnd"/>
      <w:r w:rsidRPr="00B13FB6">
        <w:rPr>
          <w:rFonts w:ascii="Arial" w:hAnsi="Arial" w:cs="Arial"/>
          <w:sz w:val="20"/>
          <w:szCs w:val="20"/>
        </w:rPr>
        <w:t>. через кабинет ККТ.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8" w:name="P29"/>
      <w:bookmarkEnd w:id="8"/>
      <w:r w:rsidRPr="00B13FB6">
        <w:rPr>
          <w:rFonts w:ascii="Arial" w:hAnsi="Arial" w:cs="Arial"/>
          <w:b/>
          <w:sz w:val="20"/>
          <w:szCs w:val="20"/>
        </w:rPr>
        <w:t>Применение ККТ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С 1 марта 2025 года обязанность применять ККТ распространяют на расчеты: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r:id="rId41">
        <w:r w:rsidRPr="00B13FB6">
          <w:rPr>
            <w:rFonts w:ascii="Arial" w:hAnsi="Arial" w:cs="Arial"/>
            <w:color w:val="0000FF"/>
            <w:sz w:val="20"/>
            <w:szCs w:val="20"/>
          </w:rPr>
          <w:t>через СБП</w:t>
        </w:r>
      </w:hyperlink>
      <w:r w:rsidRPr="00B13FB6">
        <w:rPr>
          <w:rFonts w:ascii="Arial" w:hAnsi="Arial" w:cs="Arial"/>
          <w:sz w:val="20"/>
          <w:szCs w:val="20"/>
        </w:rPr>
        <w:t>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r:id="rId42">
        <w:r w:rsidRPr="00B13FB6">
          <w:rPr>
            <w:rFonts w:ascii="Arial" w:hAnsi="Arial" w:cs="Arial"/>
            <w:color w:val="0000FF"/>
            <w:sz w:val="20"/>
            <w:szCs w:val="20"/>
          </w:rPr>
          <w:t>с участием уполномоченного работника</w:t>
        </w:r>
      </w:hyperlink>
      <w:r w:rsidRPr="00B13FB6">
        <w:rPr>
          <w:rFonts w:ascii="Arial" w:hAnsi="Arial" w:cs="Arial"/>
          <w:sz w:val="20"/>
          <w:szCs w:val="20"/>
        </w:rPr>
        <w:t>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с помощью автоматического устройства для расчетов.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Корректируют понятие </w:t>
      </w:r>
      <w:hyperlink r:id="rId43">
        <w:r w:rsidRPr="00B13FB6">
          <w:rPr>
            <w:rFonts w:ascii="Arial" w:hAnsi="Arial" w:cs="Arial"/>
            <w:color w:val="0000FF"/>
            <w:sz w:val="20"/>
            <w:szCs w:val="20"/>
          </w:rPr>
          <w:t>"применение контрольно-кассовой техники"</w:t>
        </w:r>
      </w:hyperlink>
      <w:r w:rsidRPr="00B13FB6">
        <w:rPr>
          <w:rFonts w:ascii="Arial" w:hAnsi="Arial" w:cs="Arial"/>
          <w:sz w:val="20"/>
          <w:szCs w:val="20"/>
        </w:rPr>
        <w:t xml:space="preserve"> и общее правило ее применения.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ККТ </w:t>
      </w:r>
      <w:hyperlink r:id="rId44">
        <w:r w:rsidRPr="00B13FB6">
          <w:rPr>
            <w:rFonts w:ascii="Arial" w:hAnsi="Arial" w:cs="Arial"/>
            <w:color w:val="0000FF"/>
            <w:sz w:val="20"/>
            <w:szCs w:val="20"/>
          </w:rPr>
          <w:t>надо применять</w:t>
        </w:r>
      </w:hyperlink>
      <w:r w:rsidRPr="00B13FB6">
        <w:rPr>
          <w:rFonts w:ascii="Arial" w:hAnsi="Arial" w:cs="Arial"/>
          <w:sz w:val="20"/>
          <w:szCs w:val="20"/>
        </w:rPr>
        <w:t xml:space="preserve"> по адресу и месту ее установки, которые указали при ее регистрации (перерегистрации).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При расчетах за услуги общепита ККТ </w:t>
      </w:r>
      <w:hyperlink r:id="rId45">
        <w:r w:rsidRPr="00B13FB6">
          <w:rPr>
            <w:rFonts w:ascii="Arial" w:hAnsi="Arial" w:cs="Arial"/>
            <w:color w:val="0000FF"/>
            <w:sz w:val="20"/>
            <w:szCs w:val="20"/>
          </w:rPr>
          <w:t>может находиться</w:t>
        </w:r>
      </w:hyperlink>
      <w:r w:rsidRPr="00B13FB6">
        <w:rPr>
          <w:rFonts w:ascii="Arial" w:hAnsi="Arial" w:cs="Arial"/>
          <w:sz w:val="20"/>
          <w:szCs w:val="20"/>
        </w:rPr>
        <w:t xml:space="preserve"> на месте размещения наличных, которые используют для выдачи (возврата) клиентам.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ФНС </w:t>
      </w:r>
      <w:hyperlink r:id="rId46">
        <w:r w:rsidRPr="00B13FB6">
          <w:rPr>
            <w:rFonts w:ascii="Arial" w:hAnsi="Arial" w:cs="Arial"/>
            <w:color w:val="0000FF"/>
            <w:sz w:val="20"/>
            <w:szCs w:val="20"/>
          </w:rPr>
          <w:t>разместила</w:t>
        </w:r>
      </w:hyperlink>
      <w:r w:rsidRPr="00B13FB6">
        <w:rPr>
          <w:rFonts w:ascii="Arial" w:hAnsi="Arial" w:cs="Arial"/>
          <w:sz w:val="20"/>
          <w:szCs w:val="20"/>
        </w:rPr>
        <w:t xml:space="preserve"> на сайте </w:t>
      </w:r>
      <w:hyperlink r:id="rId47">
        <w:r w:rsidRPr="00B13FB6"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 w:rsidRPr="00B13FB6">
        <w:rPr>
          <w:rFonts w:ascii="Arial" w:hAnsi="Arial" w:cs="Arial"/>
          <w:sz w:val="20"/>
          <w:szCs w:val="20"/>
        </w:rPr>
        <w:t xml:space="preserve"> по формированию кассовых чеков организациями общепита. Пояснения дали для расчетов: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при обслуживании официантами (в ресторанах);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обслуживании за стойками (в барах);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обслуживании за прилавками (на предприятиях быстрого питания);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доставке по заказам;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самообслуживании (в столовых, в </w:t>
      </w:r>
      <w:proofErr w:type="spellStart"/>
      <w:r w:rsidRPr="00B13FB6">
        <w:rPr>
          <w:rFonts w:ascii="Arial" w:hAnsi="Arial" w:cs="Arial"/>
          <w:sz w:val="20"/>
          <w:szCs w:val="20"/>
        </w:rPr>
        <w:t>т.ч</w:t>
      </w:r>
      <w:proofErr w:type="spellEnd"/>
      <w:r w:rsidRPr="00B13FB6">
        <w:rPr>
          <w:rFonts w:ascii="Arial" w:hAnsi="Arial" w:cs="Arial"/>
          <w:sz w:val="20"/>
          <w:szCs w:val="20"/>
        </w:rPr>
        <w:t>. корпоративных).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Вводят </w:t>
      </w:r>
      <w:hyperlink r:id="rId48">
        <w:r w:rsidRPr="00B13FB6">
          <w:rPr>
            <w:rFonts w:ascii="Arial" w:hAnsi="Arial" w:cs="Arial"/>
            <w:color w:val="0000FF"/>
            <w:sz w:val="20"/>
            <w:szCs w:val="20"/>
          </w:rPr>
          <w:t>новое правило</w:t>
        </w:r>
      </w:hyperlink>
      <w:r w:rsidRPr="00B13FB6">
        <w:rPr>
          <w:rFonts w:ascii="Arial" w:hAnsi="Arial" w:cs="Arial"/>
          <w:sz w:val="20"/>
          <w:szCs w:val="20"/>
        </w:rPr>
        <w:t>. Так, при расчетах, которые проводят при непосредственном взаимодействии покупателя (клиента) с автоматическим устройством для расчетов, ККТ должна отвечать одному из требований: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она должна находиться внутри корпуса этого устройства с оборудованием для расчетов;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она должна быть механически соединена с таким корпусом только данного устройства.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При этом ККТ применяют в момент взаимодействия покупателя (клиента) с устройством.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9" w:name="P49"/>
      <w:bookmarkEnd w:id="9"/>
      <w:r w:rsidRPr="00B13FB6">
        <w:rPr>
          <w:rFonts w:ascii="Arial" w:hAnsi="Arial" w:cs="Arial"/>
          <w:b/>
          <w:sz w:val="20"/>
          <w:szCs w:val="20"/>
        </w:rPr>
        <w:t>Передача чека (БСО) покупателю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Пользователь может направить чек (БСО) на абонентский номер либо электронную почту покупателя, только если </w:t>
      </w:r>
      <w:hyperlink r:id="rId49">
        <w:r w:rsidRPr="00B13FB6">
          <w:rPr>
            <w:rFonts w:ascii="Arial" w:hAnsi="Arial" w:cs="Arial"/>
            <w:color w:val="0000FF"/>
            <w:sz w:val="20"/>
            <w:szCs w:val="20"/>
          </w:rPr>
          <w:t>есть согласие</w:t>
        </w:r>
      </w:hyperlink>
      <w:r w:rsidRPr="00B13FB6">
        <w:rPr>
          <w:rFonts w:ascii="Arial" w:hAnsi="Arial" w:cs="Arial"/>
          <w:sz w:val="20"/>
          <w:szCs w:val="20"/>
        </w:rPr>
        <w:t xml:space="preserve"> последнего.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0">
        <w:r w:rsidRPr="00B13FB6">
          <w:rPr>
            <w:rFonts w:ascii="Arial" w:hAnsi="Arial" w:cs="Arial"/>
            <w:color w:val="0000FF"/>
            <w:sz w:val="20"/>
            <w:szCs w:val="20"/>
          </w:rPr>
          <w:t>При согласии</w:t>
        </w:r>
      </w:hyperlink>
      <w:r w:rsidRPr="00B13FB6">
        <w:rPr>
          <w:rFonts w:ascii="Arial" w:hAnsi="Arial" w:cs="Arial"/>
          <w:sz w:val="20"/>
          <w:szCs w:val="20"/>
        </w:rPr>
        <w:t xml:space="preserve"> покупателя чек (БСО) можно направить через информресурс ФНС "Мои чеки онлайн".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lastRenderedPageBreak/>
        <w:t xml:space="preserve">До расчета пользователь </w:t>
      </w:r>
      <w:hyperlink r:id="rId51">
        <w:r w:rsidRPr="00B13FB6">
          <w:rPr>
            <w:rFonts w:ascii="Arial" w:hAnsi="Arial" w:cs="Arial"/>
            <w:color w:val="0000FF"/>
            <w:sz w:val="20"/>
            <w:szCs w:val="20"/>
          </w:rPr>
          <w:t>обязан дать</w:t>
        </w:r>
      </w:hyperlink>
      <w:r w:rsidRPr="00B13FB6">
        <w:rPr>
          <w:rFonts w:ascii="Arial" w:hAnsi="Arial" w:cs="Arial"/>
          <w:sz w:val="20"/>
          <w:szCs w:val="20"/>
        </w:rPr>
        <w:t xml:space="preserve"> покупателю возможность предоставить: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абонентский номер и электронную почту для получения чека (БСО) в электронной форме;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сведения о том, что он уже не использует номер или почту для этих целей.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При расчетах за услуги общепита чек (БСО) нужно напечатать после того, как клиент попросит счет, но </w:t>
      </w:r>
      <w:hyperlink r:id="rId52">
        <w:r w:rsidRPr="00B13FB6">
          <w:rPr>
            <w:rFonts w:ascii="Arial" w:hAnsi="Arial" w:cs="Arial"/>
            <w:color w:val="0000FF"/>
            <w:sz w:val="20"/>
            <w:szCs w:val="20"/>
          </w:rPr>
          <w:t>до момента оплаты</w:t>
        </w:r>
      </w:hyperlink>
      <w:r w:rsidRPr="00B13FB6">
        <w:rPr>
          <w:rFonts w:ascii="Arial" w:hAnsi="Arial" w:cs="Arial"/>
          <w:sz w:val="20"/>
          <w:szCs w:val="20"/>
        </w:rPr>
        <w:t>. Такой чек (БСО) подтверждает предстоящий прием денег.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10" w:name="P58"/>
      <w:bookmarkEnd w:id="10"/>
      <w:r w:rsidRPr="00B13FB6">
        <w:rPr>
          <w:rFonts w:ascii="Arial" w:hAnsi="Arial" w:cs="Arial"/>
          <w:b/>
          <w:sz w:val="20"/>
          <w:szCs w:val="20"/>
        </w:rPr>
        <w:t>Требования к ККТ и фискальному накопителю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Каждая ККТ должна быть с </w:t>
      </w:r>
      <w:hyperlink r:id="rId53">
        <w:r w:rsidRPr="00B13FB6">
          <w:rPr>
            <w:rFonts w:ascii="Arial" w:hAnsi="Arial" w:cs="Arial"/>
            <w:color w:val="0000FF"/>
            <w:sz w:val="20"/>
            <w:szCs w:val="20"/>
          </w:rPr>
          <w:t>индивидуальным корпусом</w:t>
        </w:r>
      </w:hyperlink>
      <w:r w:rsidRPr="00B13FB6">
        <w:rPr>
          <w:rFonts w:ascii="Arial" w:hAnsi="Arial" w:cs="Arial"/>
          <w:sz w:val="20"/>
          <w:szCs w:val="20"/>
        </w:rPr>
        <w:t xml:space="preserve">. В нем должен быть </w:t>
      </w:r>
      <w:hyperlink r:id="rId54">
        <w:r w:rsidRPr="00B13FB6">
          <w:rPr>
            <w:rFonts w:ascii="Arial" w:hAnsi="Arial" w:cs="Arial"/>
            <w:color w:val="0000FF"/>
            <w:sz w:val="20"/>
            <w:szCs w:val="20"/>
          </w:rPr>
          <w:t>один фискальный накопитель</w:t>
        </w:r>
      </w:hyperlink>
      <w:r w:rsidRPr="00B13FB6">
        <w:rPr>
          <w:rFonts w:ascii="Arial" w:hAnsi="Arial" w:cs="Arial"/>
          <w:sz w:val="20"/>
          <w:szCs w:val="20"/>
        </w:rPr>
        <w:t>.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ФНС </w:t>
      </w:r>
      <w:hyperlink r:id="rId55">
        <w:r w:rsidRPr="00B13FB6">
          <w:rPr>
            <w:rFonts w:ascii="Arial" w:hAnsi="Arial" w:cs="Arial"/>
            <w:color w:val="0000FF"/>
            <w:sz w:val="20"/>
            <w:szCs w:val="20"/>
          </w:rPr>
          <w:t>вправе установить</w:t>
        </w:r>
      </w:hyperlink>
      <w:r w:rsidRPr="00B13FB6">
        <w:rPr>
          <w:rFonts w:ascii="Arial" w:hAnsi="Arial" w:cs="Arial"/>
          <w:sz w:val="20"/>
          <w:szCs w:val="20"/>
        </w:rPr>
        <w:t xml:space="preserve"> требования: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к качеству печати и размеру символов бумажных фискальных документов;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размеру QR-кода на фискальных и иных документах на бумаге;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- качеству и времени отображения QR-кода на дисплее автоматического устройства для расчетов и иных компьютерных устройствах.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11" w:name="P66"/>
      <w:bookmarkEnd w:id="11"/>
      <w:r w:rsidRPr="00B13FB6">
        <w:rPr>
          <w:rFonts w:ascii="Arial" w:hAnsi="Arial" w:cs="Arial"/>
          <w:b/>
          <w:sz w:val="20"/>
          <w:szCs w:val="20"/>
        </w:rPr>
        <w:t>Прочие изменения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>С 1 марта 2025 года: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</w:t>
      </w:r>
      <w:hyperlink r:id="rId56">
        <w:r w:rsidRPr="00B13FB6">
          <w:rPr>
            <w:rFonts w:ascii="Arial" w:hAnsi="Arial" w:cs="Arial"/>
            <w:color w:val="0000FF"/>
            <w:sz w:val="20"/>
            <w:szCs w:val="20"/>
          </w:rPr>
          <w:t>вводят</w:t>
        </w:r>
      </w:hyperlink>
      <w:r w:rsidRPr="00B13FB6">
        <w:rPr>
          <w:rFonts w:ascii="Arial" w:hAnsi="Arial" w:cs="Arial"/>
          <w:sz w:val="20"/>
          <w:szCs w:val="20"/>
        </w:rPr>
        <w:t xml:space="preserve"> обязательную экспертизу новых моделей фискальных накопителей;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налоговики </w:t>
      </w:r>
      <w:hyperlink r:id="rId57">
        <w:r w:rsidRPr="00B13FB6">
          <w:rPr>
            <w:rFonts w:ascii="Arial" w:hAnsi="Arial" w:cs="Arial"/>
            <w:color w:val="0000FF"/>
            <w:sz w:val="20"/>
            <w:szCs w:val="20"/>
          </w:rPr>
          <w:t>вправе выносить</w:t>
        </w:r>
      </w:hyperlink>
      <w:r w:rsidRPr="00B13FB6">
        <w:rPr>
          <w:rFonts w:ascii="Arial" w:hAnsi="Arial" w:cs="Arial"/>
          <w:sz w:val="20"/>
          <w:szCs w:val="20"/>
        </w:rPr>
        <w:t xml:space="preserve"> предписания об устранении нарушений в том числе при наблюдении за выполнением требований по </w:t>
      </w:r>
      <w:hyperlink r:id="rId58">
        <w:r w:rsidRPr="00B13FB6">
          <w:rPr>
            <w:rFonts w:ascii="Arial" w:hAnsi="Arial" w:cs="Arial"/>
            <w:color w:val="0000FF"/>
            <w:sz w:val="20"/>
            <w:szCs w:val="20"/>
          </w:rPr>
          <w:t>Закону</w:t>
        </w:r>
      </w:hyperlink>
      <w:r w:rsidRPr="00B13FB6">
        <w:rPr>
          <w:rFonts w:ascii="Arial" w:hAnsi="Arial" w:cs="Arial"/>
          <w:sz w:val="20"/>
          <w:szCs w:val="20"/>
        </w:rPr>
        <w:t xml:space="preserve"> о госконтроле;</w:t>
      </w:r>
    </w:p>
    <w:p w:rsidR="00B13FB6" w:rsidRPr="00B13FB6" w:rsidRDefault="00B13FB6" w:rsidP="00B13FB6">
      <w:pPr>
        <w:spacing w:before="220"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sz w:val="20"/>
          <w:szCs w:val="20"/>
        </w:rPr>
        <w:t xml:space="preserve">- инспекторы </w:t>
      </w:r>
      <w:hyperlink r:id="rId59">
        <w:r w:rsidRPr="00B13FB6">
          <w:rPr>
            <w:rFonts w:ascii="Arial" w:hAnsi="Arial" w:cs="Arial"/>
            <w:color w:val="0000FF"/>
            <w:sz w:val="20"/>
            <w:szCs w:val="20"/>
          </w:rPr>
          <w:t>вправе передавать</w:t>
        </w:r>
      </w:hyperlink>
      <w:r w:rsidRPr="00B13F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3FB6">
        <w:rPr>
          <w:rFonts w:ascii="Arial" w:hAnsi="Arial" w:cs="Arial"/>
          <w:sz w:val="20"/>
          <w:szCs w:val="20"/>
        </w:rPr>
        <w:t>Роспотребнадзору</w:t>
      </w:r>
      <w:proofErr w:type="spellEnd"/>
      <w:r w:rsidRPr="00B13FB6">
        <w:rPr>
          <w:rFonts w:ascii="Arial" w:hAnsi="Arial" w:cs="Arial"/>
          <w:sz w:val="20"/>
          <w:szCs w:val="20"/>
        </w:rPr>
        <w:t xml:space="preserve"> сведения об адресе и месте установки (применения) ККТ, дате сформированного с ее помощью первого чека (БСО).</w:t>
      </w: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13FB6">
        <w:rPr>
          <w:rFonts w:ascii="Arial" w:hAnsi="Arial" w:cs="Arial"/>
          <w:i/>
          <w:sz w:val="20"/>
          <w:szCs w:val="20"/>
        </w:rPr>
        <w:t xml:space="preserve">Документ: Федеральный </w:t>
      </w:r>
      <w:hyperlink r:id="rId60">
        <w:r w:rsidRPr="00B13FB6">
          <w:rPr>
            <w:rFonts w:ascii="Arial" w:hAnsi="Arial" w:cs="Arial"/>
            <w:i/>
            <w:color w:val="0000FF"/>
            <w:sz w:val="20"/>
            <w:szCs w:val="20"/>
          </w:rPr>
          <w:t>закон</w:t>
        </w:r>
      </w:hyperlink>
      <w:r w:rsidRPr="00B13FB6">
        <w:rPr>
          <w:rFonts w:ascii="Arial" w:hAnsi="Arial" w:cs="Arial"/>
          <w:i/>
          <w:sz w:val="20"/>
          <w:szCs w:val="20"/>
        </w:rPr>
        <w:t xml:space="preserve"> от 08.08.2024 N 274-ФЗ</w:t>
      </w:r>
    </w:p>
    <w:p w:rsidR="00B13FB6" w:rsidRPr="00B13FB6" w:rsidRDefault="00B13FB6" w:rsidP="00B13FB6">
      <w:pPr>
        <w:spacing w:after="1" w:line="220" w:lineRule="auto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spacing w:after="1" w:line="220" w:lineRule="auto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0"/>
          <w:szCs w:val="20"/>
        </w:rPr>
      </w:pPr>
    </w:p>
    <w:p w:rsidR="00B13FB6" w:rsidRPr="00B13FB6" w:rsidRDefault="00B13FB6" w:rsidP="00B13FB6">
      <w:pPr>
        <w:rPr>
          <w:rFonts w:ascii="Arial" w:hAnsi="Arial" w:cs="Arial"/>
          <w:sz w:val="20"/>
          <w:szCs w:val="20"/>
        </w:rPr>
      </w:pPr>
    </w:p>
    <w:p w:rsidR="00D43F17" w:rsidRPr="00B13FB6" w:rsidRDefault="00D43F17" w:rsidP="000331DC">
      <w:pPr>
        <w:rPr>
          <w:rFonts w:ascii="Arial" w:hAnsi="Arial" w:cs="Arial"/>
          <w:sz w:val="20"/>
          <w:szCs w:val="20"/>
        </w:rPr>
      </w:pPr>
    </w:p>
    <w:sectPr w:rsidR="00D43F17" w:rsidRPr="00B13FB6" w:rsidSect="0033263D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B13FB6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B13FB6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B13FB6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B13FB6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4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B13FB6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1pt;height:37.2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B13FB6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B13FB6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13FB6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6792&amp;dst=619" TargetMode="External"/><Relationship Id="rId21" Type="http://schemas.openxmlformats.org/officeDocument/2006/relationships/hyperlink" Target="https://login.consultant.ru/link/?req=doc&amp;base=LAW&amp;n=489441&amp;dst=2598" TargetMode="External"/><Relationship Id="rId34" Type="http://schemas.openxmlformats.org/officeDocument/2006/relationships/hyperlink" Target="https://login.consultant.ru/link/?req=doc&amp;base=LAW&amp;n=498790&amp;dst=100011" TargetMode="External"/><Relationship Id="rId42" Type="http://schemas.openxmlformats.org/officeDocument/2006/relationships/hyperlink" Target="https://login.consultant.ru/link/?req=doc&amp;base=LAW&amp;n=482522&amp;dst=100021" TargetMode="External"/><Relationship Id="rId47" Type="http://schemas.openxmlformats.org/officeDocument/2006/relationships/hyperlink" Target="https://login.consultant.ru/link/?req=doc&amp;base=PBI&amp;n=341775" TargetMode="External"/><Relationship Id="rId50" Type="http://schemas.openxmlformats.org/officeDocument/2006/relationships/hyperlink" Target="https://login.consultant.ru/link/?req=doc&amp;base=LAW&amp;n=482522&amp;dst=100025" TargetMode="External"/><Relationship Id="rId55" Type="http://schemas.openxmlformats.org/officeDocument/2006/relationships/hyperlink" Target="https://login.consultant.ru/link/?req=doc&amp;base=LAW&amp;n=482522&amp;dst=100092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747&amp;dst=100006" TargetMode="External"/><Relationship Id="rId29" Type="http://schemas.openxmlformats.org/officeDocument/2006/relationships/hyperlink" Target="https://login.consultant.ru/link/?req=doc&amp;base=LAW&amp;n=498790&amp;dst=100007" TargetMode="External"/><Relationship Id="rId11" Type="http://schemas.openxmlformats.org/officeDocument/2006/relationships/hyperlink" Target="https://login.consultant.ru/link/?req=doc&amp;base=LAW&amp;n=489505&amp;dst=100034" TargetMode="External"/><Relationship Id="rId24" Type="http://schemas.openxmlformats.org/officeDocument/2006/relationships/hyperlink" Target="https://login.consultant.ru/link/?req=doc&amp;base=LAW&amp;n=412885&amp;dst=100005" TargetMode="External"/><Relationship Id="rId32" Type="http://schemas.openxmlformats.org/officeDocument/2006/relationships/hyperlink" Target="https://login.consultant.ru/link/?req=doc&amp;base=LAW&amp;n=436792&amp;dst=621" TargetMode="External"/><Relationship Id="rId37" Type="http://schemas.openxmlformats.org/officeDocument/2006/relationships/hyperlink" Target="https://login.consultant.ru/link/?req=doc&amp;base=LAW&amp;n=482522&amp;dst=100104" TargetMode="External"/><Relationship Id="rId40" Type="http://schemas.openxmlformats.org/officeDocument/2006/relationships/hyperlink" Target="https://login.consultant.ru/link/?req=doc&amp;base=LAW&amp;n=482522&amp;dst=100112" TargetMode="External"/><Relationship Id="rId45" Type="http://schemas.openxmlformats.org/officeDocument/2006/relationships/hyperlink" Target="https://login.consultant.ru/link/?req=doc&amp;base=LAW&amp;n=482522&amp;dst=100117" TargetMode="External"/><Relationship Id="rId53" Type="http://schemas.openxmlformats.org/officeDocument/2006/relationships/hyperlink" Target="https://login.consultant.ru/link/?req=doc&amp;base=LAW&amp;n=482522&amp;dst=100088" TargetMode="External"/><Relationship Id="rId58" Type="http://schemas.openxmlformats.org/officeDocument/2006/relationships/hyperlink" Target="https://login.consultant.ru/link/?req=doc&amp;base=LAW&amp;n=49500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94027&amp;dst=100014" TargetMode="External"/><Relationship Id="rId14" Type="http://schemas.openxmlformats.org/officeDocument/2006/relationships/hyperlink" Target="https://login.consultant.ru/link/?req=doc&amp;base=LAW&amp;n=392698&amp;dst=100014" TargetMode="External"/><Relationship Id="rId22" Type="http://schemas.openxmlformats.org/officeDocument/2006/relationships/hyperlink" Target="https://login.consultant.ru/link/?req=doc&amp;base=LAW&amp;n=494027&amp;dst=100041" TargetMode="External"/><Relationship Id="rId27" Type="http://schemas.openxmlformats.org/officeDocument/2006/relationships/hyperlink" Target="https://login.consultant.ru/link/?req=doc&amp;base=LAW&amp;n=482522&amp;dst=100099" TargetMode="External"/><Relationship Id="rId30" Type="http://schemas.openxmlformats.org/officeDocument/2006/relationships/hyperlink" Target="https://login.consultant.ru/link/?req=doc&amp;base=LAW&amp;n=436792&amp;dst=288" TargetMode="External"/><Relationship Id="rId35" Type="http://schemas.openxmlformats.org/officeDocument/2006/relationships/hyperlink" Target="https://login.consultant.ru/link/?req=doc&amp;base=LAW&amp;n=498790&amp;dst=100012" TargetMode="External"/><Relationship Id="rId43" Type="http://schemas.openxmlformats.org/officeDocument/2006/relationships/hyperlink" Target="https://login.consultant.ru/link/?req=doc&amp;base=LAW&amp;n=436792&amp;dst=740" TargetMode="External"/><Relationship Id="rId48" Type="http://schemas.openxmlformats.org/officeDocument/2006/relationships/hyperlink" Target="https://login.consultant.ru/link/?req=doc&amp;base=LAW&amp;n=482522&amp;dst=100118" TargetMode="External"/><Relationship Id="rId56" Type="http://schemas.openxmlformats.org/officeDocument/2006/relationships/hyperlink" Target="https://login.consultant.ru/link/?req=doc&amp;base=LAW&amp;n=482522&amp;dst=100064" TargetMode="External"/><Relationship Id="rId64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89505&amp;dst=100023" TargetMode="External"/><Relationship Id="rId51" Type="http://schemas.openxmlformats.org/officeDocument/2006/relationships/hyperlink" Target="https://login.consultant.ru/link/?req=doc&amp;base=LAW&amp;n=482522&amp;dst=1000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9505&amp;dst=100412" TargetMode="External"/><Relationship Id="rId17" Type="http://schemas.openxmlformats.org/officeDocument/2006/relationships/hyperlink" Target="https://login.consultant.ru/link/?req=doc&amp;base=LAW&amp;n=471831&amp;dst=100015" TargetMode="External"/><Relationship Id="rId25" Type="http://schemas.openxmlformats.org/officeDocument/2006/relationships/hyperlink" Target="https://login.consultant.ru/link/?req=doc&amp;base=LAW&amp;n=412885&amp;dst=100007" TargetMode="External"/><Relationship Id="rId33" Type="http://schemas.openxmlformats.org/officeDocument/2006/relationships/hyperlink" Target="https://login.consultant.ru/link/?req=doc&amp;base=LAW&amp;n=498790&amp;dst=100010" TargetMode="External"/><Relationship Id="rId38" Type="http://schemas.openxmlformats.org/officeDocument/2006/relationships/hyperlink" Target="https://login.consultant.ru/link/?req=doc&amp;base=LAW&amp;n=482522&amp;dst=100109" TargetMode="External"/><Relationship Id="rId46" Type="http://schemas.openxmlformats.org/officeDocument/2006/relationships/hyperlink" Target="https://login.consultant.ru/link/?req=doc&amp;base=LAW&amp;n=498928&amp;dst=100005" TargetMode="External"/><Relationship Id="rId59" Type="http://schemas.openxmlformats.org/officeDocument/2006/relationships/hyperlink" Target="https://login.consultant.ru/link/?req=doc&amp;base=LAW&amp;n=482522&amp;dst=100134" TargetMode="External"/><Relationship Id="rId20" Type="http://schemas.openxmlformats.org/officeDocument/2006/relationships/hyperlink" Target="https://login.consultant.ru/link/?req=doc&amp;base=LAW&amp;n=494093&amp;dst=14" TargetMode="External"/><Relationship Id="rId41" Type="http://schemas.openxmlformats.org/officeDocument/2006/relationships/hyperlink" Target="https://login.consultant.ru/link/?req=doc&amp;base=LAW&amp;n=482522&amp;dst=100020" TargetMode="External"/><Relationship Id="rId54" Type="http://schemas.openxmlformats.org/officeDocument/2006/relationships/hyperlink" Target="https://login.consultant.ru/link/?req=doc&amp;base=LAW&amp;n=482522&amp;dst=100089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0972&amp;dst=1" TargetMode="External"/><Relationship Id="rId23" Type="http://schemas.openxmlformats.org/officeDocument/2006/relationships/hyperlink" Target="https://login.consultant.ru/link/?req=doc&amp;base=LAW&amp;n=499133&amp;dst=100012" TargetMode="External"/><Relationship Id="rId28" Type="http://schemas.openxmlformats.org/officeDocument/2006/relationships/hyperlink" Target="https://login.consultant.ru/link/?req=doc&amp;base=LAW&amp;n=482522&amp;dst=100102" TargetMode="External"/><Relationship Id="rId36" Type="http://schemas.openxmlformats.org/officeDocument/2006/relationships/hyperlink" Target="https://login.consultant.ru/link/?req=doc&amp;base=LAW&amp;n=498790&amp;dst=100016" TargetMode="External"/><Relationship Id="rId49" Type="http://schemas.openxmlformats.org/officeDocument/2006/relationships/hyperlink" Target="https://login.consultant.ru/link/?req=doc&amp;base=LAW&amp;n=482522&amp;dst=100024" TargetMode="External"/><Relationship Id="rId57" Type="http://schemas.openxmlformats.org/officeDocument/2006/relationships/hyperlink" Target="https://login.consultant.ru/link/?req=doc&amp;base=LAW&amp;n=482522&amp;dst=100132" TargetMode="External"/><Relationship Id="rId10" Type="http://schemas.openxmlformats.org/officeDocument/2006/relationships/hyperlink" Target="https://login.consultant.ru/link/?req=doc&amp;base=LAW&amp;n=489505&amp;dst=100823" TargetMode="External"/><Relationship Id="rId31" Type="http://schemas.openxmlformats.org/officeDocument/2006/relationships/hyperlink" Target="https://login.consultant.ru/link/?req=doc&amp;base=LAW&amp;n=498790&amp;dst=100009" TargetMode="External"/><Relationship Id="rId44" Type="http://schemas.openxmlformats.org/officeDocument/2006/relationships/hyperlink" Target="https://login.consultant.ru/link/?req=doc&amp;base=LAW&amp;n=482522&amp;dst=100015" TargetMode="External"/><Relationship Id="rId52" Type="http://schemas.openxmlformats.org/officeDocument/2006/relationships/hyperlink" Target="https://login.consultant.ru/link/?req=doc&amp;base=LAW&amp;n=482522&amp;dst=100032" TargetMode="External"/><Relationship Id="rId60" Type="http://schemas.openxmlformats.org/officeDocument/2006/relationships/hyperlink" Target="https://login.consultant.ru/link/?req=doc&amp;base=LAW&amp;n=48252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505&amp;dst=100334" TargetMode="External"/><Relationship Id="rId13" Type="http://schemas.openxmlformats.org/officeDocument/2006/relationships/hyperlink" Target="https://login.consultant.ru/link/?req=doc&amp;base=LAW&amp;n=464813&amp;dst=100008" TargetMode="External"/><Relationship Id="rId18" Type="http://schemas.openxmlformats.org/officeDocument/2006/relationships/hyperlink" Target="https://login.consultant.ru/link/?req=doc&amp;base=LAW&amp;n=494093&amp;dst=102989" TargetMode="External"/><Relationship Id="rId39" Type="http://schemas.openxmlformats.org/officeDocument/2006/relationships/hyperlink" Target="https://login.consultant.ru/link/?req=doc&amp;base=LAW&amp;n=482522&amp;dst=1001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F392-8BFF-4760-9EED-7711EC0B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50192501</Template>
  <TotalTime>1</TotalTime>
  <Pages>4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2025-02-27T12:22:00Z</dcterms:created>
  <dcterms:modified xsi:type="dcterms:W3CDTF">2025-02-27T12:22:00Z</dcterms:modified>
</cp:coreProperties>
</file>