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F0" w:rsidRPr="006C6AF0" w:rsidRDefault="006C6AF0" w:rsidP="006C6AF0">
      <w:pPr>
        <w:pStyle w:val="ConsPlusNormal"/>
        <w:spacing w:before="240"/>
        <w:ind w:firstLine="0"/>
        <w:jc w:val="center"/>
        <w:rPr>
          <w:color w:val="2F5496"/>
          <w:sz w:val="32"/>
          <w:szCs w:val="32"/>
        </w:rPr>
      </w:pPr>
      <w:r w:rsidRPr="006C6AF0">
        <w:rPr>
          <w:b/>
          <w:color w:val="2F5496"/>
          <w:sz w:val="32"/>
          <w:szCs w:val="32"/>
        </w:rPr>
        <w:t xml:space="preserve">Какие </w:t>
      </w:r>
      <w:bookmarkStart w:id="0" w:name="_GoBack"/>
      <w:r w:rsidRPr="006C6AF0">
        <w:rPr>
          <w:b/>
          <w:color w:val="2F5496"/>
          <w:sz w:val="32"/>
          <w:szCs w:val="32"/>
        </w:rPr>
        <w:t xml:space="preserve">меры налоговой поддержки </w:t>
      </w:r>
      <w:bookmarkEnd w:id="0"/>
      <w:r w:rsidRPr="006C6AF0">
        <w:rPr>
          <w:b/>
          <w:color w:val="2F5496"/>
          <w:sz w:val="32"/>
          <w:szCs w:val="32"/>
        </w:rPr>
        <w:t>при инвестировании в производство и новые технологии введены в рамках налоговой реформы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EEAF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928"/>
        <w:gridCol w:w="180"/>
      </w:tblGrid>
      <w:tr w:rsidR="006C6AF0" w:rsidRPr="006C6AF0" w:rsidTr="006C6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В рамках налоговой реформы предусмотрены меры поддержки, чтобы стимулировать инвестиции.</w:t>
            </w:r>
          </w:p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Установлен федеральный инвестиционный налоговый вычет. Увеличен повышающий коэффициент по расходам на НИОКР - с 1,5 до 2.</w:t>
            </w:r>
          </w:p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Также увеличены с 1,5 до 2 коэффициенты, которые применяют при определенных условиях организации, приобретающие радиоэлектронную продукцию, высокотехнологичное оборудование, программы и базы данных. Расширился круг объектов, по которым они применяются.</w:t>
            </w:r>
          </w:p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Для регионов установлена возможность в период до 2030 г. включительно снизить ставку налога на прибыль для малых технологических компаний.</w:t>
            </w:r>
          </w:p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Региональные инвестиционные налоговые вычеты стали бессрочными. Есть изменения в части региональных инвестиционных проектов.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</w:p>
        </w:tc>
      </w:tr>
    </w:tbl>
    <w:p w:rsidR="006C6AF0" w:rsidRPr="006C6AF0" w:rsidRDefault="006C6AF0" w:rsidP="006C6AF0">
      <w:pPr>
        <w:pStyle w:val="ConsPlusNormal"/>
        <w:spacing w:before="120"/>
      </w:pPr>
      <w:r w:rsidRPr="006C6AF0">
        <w:rPr>
          <w:b/>
        </w:rPr>
        <w:t>Оглавление:</w:t>
      </w:r>
    </w:p>
    <w:p w:rsidR="006C6AF0" w:rsidRPr="006C6AF0" w:rsidRDefault="006C6AF0" w:rsidP="006C6AF0">
      <w:pPr>
        <w:pStyle w:val="ConsPlusNormal"/>
        <w:spacing w:before="340"/>
        <w:ind w:left="180"/>
      </w:pPr>
      <w:r w:rsidRPr="006C6AF0">
        <w:t xml:space="preserve">1. </w:t>
      </w:r>
      <w:hyperlink w:anchor="P18">
        <w:r w:rsidRPr="006C6AF0">
          <w:rPr>
            <w:color w:val="0000FF"/>
          </w:rPr>
          <w:t>Изменения по налогу на прибыль, затрагивающие инвестиции в производство и новые технологии</w:t>
        </w:r>
      </w:hyperlink>
    </w:p>
    <w:p w:rsidR="006C6AF0" w:rsidRPr="006C6AF0" w:rsidRDefault="006C6AF0" w:rsidP="006C6AF0">
      <w:pPr>
        <w:pStyle w:val="ConsPlusNormal"/>
        <w:ind w:left="180"/>
      </w:pPr>
      <w:r w:rsidRPr="006C6AF0">
        <w:t xml:space="preserve">2. </w:t>
      </w:r>
      <w:hyperlink w:anchor="P30">
        <w:r w:rsidRPr="006C6AF0">
          <w:rPr>
            <w:color w:val="0000FF"/>
          </w:rPr>
          <w:t>Повышающий коэффициент к первоначальной стоимости некоторых видов продукции и оборудования, относящихся к ОС</w:t>
        </w:r>
      </w:hyperlink>
    </w:p>
    <w:p w:rsidR="006C6AF0" w:rsidRPr="006C6AF0" w:rsidRDefault="006C6AF0" w:rsidP="006C6AF0">
      <w:pPr>
        <w:pStyle w:val="ConsPlusNormal"/>
        <w:ind w:left="180"/>
      </w:pPr>
      <w:r w:rsidRPr="006C6AF0">
        <w:t xml:space="preserve">3. </w:t>
      </w:r>
      <w:hyperlink w:anchor="P71">
        <w:r w:rsidRPr="006C6AF0">
          <w:rPr>
            <w:color w:val="0000FF"/>
          </w:rPr>
          <w:t>Повышающие коэффициенты при учете затрат, связанных с приобретением прав на программы, базы данных, программно-аппаратные комплексы</w:t>
        </w:r>
      </w:hyperlink>
    </w:p>
    <w:p w:rsidR="006C6AF0" w:rsidRPr="006C6AF0" w:rsidRDefault="006C6AF0" w:rsidP="006C6AF0">
      <w:pPr>
        <w:pStyle w:val="ConsPlusNormal"/>
        <w:ind w:left="180"/>
      </w:pPr>
      <w:r w:rsidRPr="006C6AF0">
        <w:t xml:space="preserve">4. </w:t>
      </w:r>
      <w:hyperlink w:anchor="P112">
        <w:r w:rsidRPr="006C6AF0">
          <w:rPr>
            <w:color w:val="0000FF"/>
          </w:rPr>
          <w:t>Повышающий коэффициент при учете расходов на НИОКР</w:t>
        </w:r>
      </w:hyperlink>
    </w:p>
    <w:p w:rsidR="006C6AF0" w:rsidRPr="006C6AF0" w:rsidRDefault="006C6AF0" w:rsidP="006C6AF0">
      <w:pPr>
        <w:pStyle w:val="ConsPlusNormal"/>
        <w:ind w:left="180"/>
      </w:pPr>
      <w:r w:rsidRPr="006C6AF0">
        <w:t xml:space="preserve">5. </w:t>
      </w:r>
      <w:hyperlink w:anchor="P132">
        <w:r w:rsidRPr="006C6AF0">
          <w:rPr>
            <w:color w:val="0000FF"/>
          </w:rPr>
          <w:t>Федеральный инвестиционный налоговый вычет по налогу на прибыль</w:t>
        </w:r>
      </w:hyperlink>
    </w:p>
    <w:p w:rsidR="006C6AF0" w:rsidRPr="006C6AF0" w:rsidRDefault="006C6AF0" w:rsidP="006C6AF0">
      <w:pPr>
        <w:pStyle w:val="ConsPlusNormal"/>
        <w:ind w:left="180"/>
      </w:pPr>
      <w:r w:rsidRPr="006C6AF0">
        <w:t xml:space="preserve">6. </w:t>
      </w:r>
      <w:hyperlink w:anchor="P153">
        <w:r w:rsidRPr="006C6AF0">
          <w:rPr>
            <w:color w:val="0000FF"/>
          </w:rPr>
          <w:t>Пониженная ставка по налогу на прибыль для малых технологических компаний</w:t>
        </w:r>
      </w:hyperlink>
    </w:p>
    <w:p w:rsidR="006C6AF0" w:rsidRPr="006C6AF0" w:rsidRDefault="006C6AF0" w:rsidP="006C6AF0">
      <w:pPr>
        <w:pStyle w:val="ConsPlusNormal"/>
        <w:spacing w:before="240"/>
        <w:outlineLvl w:val="0"/>
      </w:pPr>
      <w:bookmarkStart w:id="1" w:name="P18"/>
      <w:bookmarkEnd w:id="1"/>
      <w:r w:rsidRPr="006C6AF0">
        <w:rPr>
          <w:b/>
        </w:rPr>
        <w:t>1. Изменения по налогу на прибыль, затрагивающие инвестиции в производство и новые технологии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 рамках налоговой реформы предусмотрен ряд мер поддержки для организаций, которые вкладывают средства в развитие и расширение производства, в новые технологии: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установлен федеральный инвестиционный налоговый вычет, уменьшающий налог на прибыль;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предусмотрена возможность снижения в регионах ставки налога на прибыль для малых технологических компаний;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повышен с 1,5 до 2 коэффициент, позволяющий увеличить первоначальную стоимость отдельных ОС и за счет этого начислять амортизацию в более высоком размере. Изменения затронули радиоэлектронную продукцию и высокотехнологичное оборудование, обладающие установленными законом признаками;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введен повышающий коэффициент 2 для ОС, включенных в единый реестр российских программ и баз данных. Воспользовавшись им, можно скорректировать первоначальную стоимость таких ОС;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выросли с 1,5 до 2 повышающие коэффициенты, которые и раньше использовались при учете затрат, связанных с приобретением отдельных программ и баз данных. Расширен круг программ и баз данных, по которым его можно применить;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 xml:space="preserve">установлен повышающий коэффициент 2 для учета в прочих расходах затрат, которые связаны с приобретением по лицензионному или </w:t>
      </w:r>
      <w:proofErr w:type="spellStart"/>
      <w:r w:rsidRPr="006C6AF0">
        <w:t>сублицензионному</w:t>
      </w:r>
      <w:proofErr w:type="spellEnd"/>
      <w:r w:rsidRPr="006C6AF0">
        <w:t xml:space="preserve"> соглашению с правообладателем права использовать программно-аппаратный комплекс, включенный в специальный реестр;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lastRenderedPageBreak/>
        <w:t>увеличен с 1,5 до 2 повышающий коэффициент, используемый при учете расходов на НИОКР;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отменено ограничение по сроку применения регионального инвестиционного налогового вычета. Данный вычет устанавливается в разных регионах в порядке ст. 286.1 НК РФ. Изначально он вводился на временной основе - до 31 декабря 2027 г. включительно. А теперь он бессрочный;</w:t>
      </w:r>
    </w:p>
    <w:p w:rsidR="006C6AF0" w:rsidRPr="006C6AF0" w:rsidRDefault="006C6AF0" w:rsidP="006C6AF0">
      <w:pPr>
        <w:pStyle w:val="ConsPlusNormal"/>
        <w:numPr>
          <w:ilvl w:val="0"/>
          <w:numId w:val="34"/>
        </w:numPr>
        <w:adjustRightInd/>
        <w:spacing w:before="220"/>
        <w:jc w:val="both"/>
      </w:pPr>
      <w:r w:rsidRPr="006C6AF0">
        <w:t>отменено ограничение по применению льготных ставок по налогу на прибыль некоторыми участниками региональных инвестиционных проектов. Раньше они могли их использовать только до наступления 1 января 2029 г. Теперь такого ограничения нет.</w: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outlineLvl w:val="0"/>
      </w:pPr>
      <w:bookmarkStart w:id="2" w:name="P30"/>
      <w:bookmarkEnd w:id="2"/>
      <w:r w:rsidRPr="006C6AF0">
        <w:rPr>
          <w:b/>
        </w:rPr>
        <w:t>2. Повышающий коэффициент к первоначальной стоимости некоторых видов продукции и оборудования, относящихся к ОС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Увеличен с 1,5 до 2 повышающий коэффициент, на который можно скорректировать первоначальную стоимость некоторых ОС. Если вы ее умножаете на коэффициент, она растет, а вместе с ней увеличиваются и суммы, которые вы списываете на расходы через амортизацию.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Вы можете применить коэффициент 2, когда определяете первоначальную стоимость следующих видов российской продукции и оборудования, признаваемых объектами ОС (п. 1 ст. 257 НК РФ):</w:t>
      </w:r>
    </w:p>
    <w:p w:rsidR="006C6AF0" w:rsidRPr="006C6AF0" w:rsidRDefault="006C6AF0" w:rsidP="006C6AF0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6C6AF0">
        <w:rPr>
          <w:b/>
        </w:rPr>
        <w:t>радиоэлектронная продукция</w:t>
      </w:r>
      <w:r w:rsidRPr="006C6AF0">
        <w:t>, которая относится к искусственному интеллекту и включена в специальный реестр;</w:t>
      </w:r>
    </w:p>
    <w:p w:rsidR="006C6AF0" w:rsidRPr="006C6AF0" w:rsidRDefault="006C6AF0" w:rsidP="006C6AF0">
      <w:pPr>
        <w:pStyle w:val="ConsPlusNormal"/>
        <w:numPr>
          <w:ilvl w:val="0"/>
          <w:numId w:val="35"/>
        </w:numPr>
        <w:adjustRightInd/>
        <w:spacing w:before="220"/>
        <w:jc w:val="both"/>
      </w:pPr>
      <w:r w:rsidRPr="006C6AF0">
        <w:rPr>
          <w:b/>
        </w:rPr>
        <w:t>высокотехнологичное оборудование</w:t>
      </w:r>
      <w:r w:rsidRPr="006C6AF0">
        <w:t>, которое на день его ввода в эксплуатацию включено в специальный перечень.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Воспользоваться коэффициентом 2 по таким объектам можно, если он предусмотрен в учетной политике для целей налогообложения. Основание - Письма Минфина России от 21.12.2023 N 03-03-06/1/124572, от 08.08.2023 N 03-03-06/1/74309. В них упоминается старое значение коэффициента, но полагаем, что ими можно руководствоваться и после его изменения.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bookmarkStart w:id="3" w:name="P37"/>
            <w:bookmarkEnd w:id="3"/>
            <w:r w:rsidRPr="006C6AF0">
              <w:rPr>
                <w:u w:val="single"/>
              </w:rPr>
              <w:t>Пример расчета амортизации при использовании повышающего коэффициента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Организация приобрела российское высокотехнологичное оборудование - лифт. Расходы на его покупку, доставку, доведения до состояния, пригодного к использованию, - 3 000 000,00 руб. (без учета НДС). Используя новый повышающий коэффициент, она определила его первоначальную стоимость как 6 000 000,00 руб. (3 000 000,00 руб. x 2).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Срок полезного использования ОС - 60 месяцев.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При начислении амортизации линейным методом организация постепенно в течение этого периода списывает на расходы: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6"/>
              </w:numPr>
              <w:adjustRightInd/>
              <w:spacing w:before="220"/>
              <w:jc w:val="both"/>
            </w:pPr>
            <w:r w:rsidRPr="006C6AF0">
              <w:t>по 100 000,00 руб. (6 000 000,00 руб. / 60) ежемесячно на протяжении 60 месяцев;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6"/>
              </w:numPr>
              <w:adjustRightInd/>
              <w:spacing w:before="220"/>
              <w:jc w:val="both"/>
            </w:pPr>
            <w:r w:rsidRPr="006C6AF0">
              <w:t>за весь период начисления амортизации - 6 000 000,00 руб.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rPr>
                <w:b/>
              </w:rPr>
              <w:t>Для сравнения:</w:t>
            </w:r>
            <w:r w:rsidRPr="006C6AF0">
              <w:t xml:space="preserve"> если бы было старое значение коэффициента, то первоначальная стоимость ОС составила бы 4 500 000,00 руб. (3 000 000,00 руб. x 1,5). Через амортизационные начисления списалось бы: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6C6AF0">
              <w:t>по 75 000,00 руб. (4 500 000,00 руб. / 60) ежемесячно на протяжении 60 месяцев.</w:t>
            </w:r>
          </w:p>
          <w:p w:rsidR="006C6AF0" w:rsidRPr="006C6AF0" w:rsidRDefault="006C6AF0" w:rsidP="004E6FC2">
            <w:pPr>
              <w:pStyle w:val="ConsPlusNormal"/>
              <w:spacing w:before="220"/>
              <w:ind w:left="540"/>
              <w:jc w:val="both"/>
            </w:pPr>
            <w:r w:rsidRPr="006C6AF0">
              <w:t xml:space="preserve">Это </w:t>
            </w:r>
            <w:r w:rsidRPr="006C6AF0">
              <w:rPr>
                <w:b/>
              </w:rPr>
              <w:t>на 25 000,00 руб. меньше</w:t>
            </w:r>
            <w:r w:rsidRPr="006C6AF0">
              <w:t>, чем ежемесячная амортизация при использовании коэффициента 2;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7"/>
              </w:numPr>
              <w:adjustRightInd/>
              <w:spacing w:before="220"/>
              <w:jc w:val="both"/>
            </w:pPr>
            <w:r w:rsidRPr="006C6AF0">
              <w:t>за весь период начисления амортизации - 4 500 000,00 руб.</w:t>
            </w:r>
          </w:p>
          <w:p w:rsidR="006C6AF0" w:rsidRPr="006C6AF0" w:rsidRDefault="006C6AF0" w:rsidP="004E6FC2">
            <w:pPr>
              <w:pStyle w:val="ConsPlusNormal"/>
              <w:spacing w:before="220"/>
              <w:ind w:left="540"/>
              <w:jc w:val="both"/>
            </w:pPr>
            <w:r w:rsidRPr="006C6AF0">
              <w:t xml:space="preserve">Это </w:t>
            </w:r>
            <w:r w:rsidRPr="006C6AF0">
              <w:rPr>
                <w:b/>
              </w:rPr>
              <w:t>на 1 500 000,00 руб. меньше</w:t>
            </w:r>
            <w:r w:rsidRPr="006C6AF0">
              <w:t>, чем при использовании коэффициента 2.</w:t>
            </w:r>
          </w:p>
        </w:tc>
      </w:tr>
    </w:tbl>
    <w:p w:rsidR="006C6AF0" w:rsidRPr="006C6AF0" w:rsidRDefault="006C6AF0" w:rsidP="006C6AF0">
      <w:pPr>
        <w:pStyle w:val="ConsPlusNormal"/>
        <w:jc w:val="both"/>
      </w:pPr>
      <w:r w:rsidRPr="006C6AF0">
        <w:t>Применив коэффициент 2, вы учтете для целей налога на прибыль через амортизацию большую сумму, чем потратили на приобретение ОС, а также на его:</w:t>
      </w:r>
    </w:p>
    <w:p w:rsidR="006C6AF0" w:rsidRPr="006C6AF0" w:rsidRDefault="006C6AF0" w:rsidP="006C6AF0">
      <w:pPr>
        <w:pStyle w:val="ConsPlusNormal"/>
        <w:numPr>
          <w:ilvl w:val="0"/>
          <w:numId w:val="38"/>
        </w:numPr>
        <w:adjustRightInd/>
        <w:jc w:val="both"/>
      </w:pPr>
      <w:r w:rsidRPr="006C6AF0">
        <w:t>сооружение;</w:t>
      </w:r>
    </w:p>
    <w:p w:rsidR="006C6AF0" w:rsidRPr="006C6AF0" w:rsidRDefault="006C6AF0" w:rsidP="006C6AF0">
      <w:pPr>
        <w:pStyle w:val="ConsPlusNormal"/>
        <w:numPr>
          <w:ilvl w:val="0"/>
          <w:numId w:val="38"/>
        </w:numPr>
        <w:adjustRightInd/>
        <w:jc w:val="both"/>
      </w:pPr>
      <w:r w:rsidRPr="006C6AF0">
        <w:t>изготовление;</w:t>
      </w:r>
    </w:p>
    <w:p w:rsidR="006C6AF0" w:rsidRPr="006C6AF0" w:rsidRDefault="006C6AF0" w:rsidP="006C6AF0">
      <w:pPr>
        <w:pStyle w:val="ConsPlusNormal"/>
        <w:numPr>
          <w:ilvl w:val="0"/>
          <w:numId w:val="38"/>
        </w:numPr>
        <w:adjustRightInd/>
        <w:jc w:val="both"/>
      </w:pPr>
      <w:r w:rsidRPr="006C6AF0">
        <w:lastRenderedPageBreak/>
        <w:t>доставку;</w:t>
      </w:r>
    </w:p>
    <w:p w:rsidR="006C6AF0" w:rsidRPr="006C6AF0" w:rsidRDefault="006C6AF0" w:rsidP="006C6AF0">
      <w:pPr>
        <w:pStyle w:val="ConsPlusNormal"/>
        <w:numPr>
          <w:ilvl w:val="0"/>
          <w:numId w:val="38"/>
        </w:numPr>
        <w:adjustRightInd/>
        <w:jc w:val="both"/>
      </w:pPr>
      <w:r w:rsidRPr="006C6AF0">
        <w:t>доведение до состояния, пригодного к использованию.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bookmarkStart w:id="4" w:name="P55"/>
            <w:bookmarkEnd w:id="4"/>
            <w:r w:rsidRPr="006C6AF0">
              <w:rPr>
                <w:u w:val="single"/>
              </w:rPr>
              <w:t>Пример расчета амортизации с повышающим коэффициентом и без него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Организация приобрела объект ОС. Расходы на его покупку, доставку, доведения до состояния, пригодного к использованию, - 1 000 000,00 руб. (без учета НДС). Амортизацию по нему она начисляет линейным методом. Срок полезного использования - 50 месяцев.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Если использовать повышающий коэффициент 2, первоначальная стоимость составит 2 000 000,00 руб. (1 000 000,00 руб. x 2). На расходы организация будет списывать: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9"/>
              </w:numPr>
              <w:adjustRightInd/>
              <w:spacing w:before="220"/>
              <w:jc w:val="both"/>
            </w:pPr>
            <w:r w:rsidRPr="006C6AF0">
              <w:t>по 40 000,00 руб. (2 000 000,00 руб. / 50) ежемесячно на протяжении 50 месяцев;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39"/>
              </w:numPr>
              <w:adjustRightInd/>
              <w:spacing w:before="220"/>
              <w:jc w:val="both"/>
            </w:pPr>
            <w:r w:rsidRPr="006C6AF0">
              <w:t xml:space="preserve">за весь период начисления амортизации - 2 000 000,00 руб. Это </w:t>
            </w:r>
            <w:r w:rsidRPr="006C6AF0">
              <w:rPr>
                <w:b/>
              </w:rPr>
              <w:t>вдвое больше, чем потрачено</w:t>
            </w:r>
            <w:r w:rsidRPr="006C6AF0">
              <w:t xml:space="preserve"> в связи с покупкой объекта ОС.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rPr>
                <w:b/>
              </w:rPr>
              <w:t>Для сравнения:</w:t>
            </w:r>
            <w:r w:rsidRPr="006C6AF0">
              <w:t xml:space="preserve"> если не использовать повышающий коэффициент, то первоначальная стоимость объекта равна 1 000 000,00 руб. На расходы через амортизацию организация спишет: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0"/>
              </w:numPr>
              <w:adjustRightInd/>
              <w:spacing w:before="220"/>
              <w:jc w:val="both"/>
            </w:pPr>
            <w:r w:rsidRPr="006C6AF0">
              <w:t>по 20 000,00 руб. (1 000 000,00 руб. / 50) ежемесячно на протяжении 50 месяцев;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0"/>
              </w:numPr>
              <w:adjustRightInd/>
              <w:spacing w:before="220"/>
              <w:jc w:val="both"/>
            </w:pPr>
            <w:r w:rsidRPr="006C6AF0">
              <w:t xml:space="preserve">за весь период начисления амортизации - 1 000 000,00 руб. Через амортизацию организация спишет </w:t>
            </w:r>
            <w:r w:rsidRPr="006C6AF0">
              <w:rPr>
                <w:b/>
              </w:rPr>
              <w:t>не больше, чем потратила</w:t>
            </w:r>
            <w:r w:rsidRPr="006C6AF0">
              <w:t xml:space="preserve"> в связи с приобретением ОС.</w:t>
            </w:r>
          </w:p>
        </w:tc>
      </w:tr>
    </w:tbl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t>С ростом амортизационных начислений за счет повышающего коэффициента 2 у вас снижается сумма налога на прибыль. Ведь одновременно с такими начислениями возрастает общая сумма расходов, связанных с производством и реализацией: амортизация в них включается. Чем больше ваши расходы, тем меньше налоговая база и сумма налога на прибыль.</w:t>
      </w:r>
    </w:p>
    <w:p w:rsidR="006C6AF0" w:rsidRPr="006C6AF0" w:rsidRDefault="006C6AF0" w:rsidP="006C6AF0">
      <w:pPr>
        <w:pStyle w:val="ConsPlusNormal"/>
        <w:spacing w:before="240"/>
        <w:jc w:val="both"/>
      </w:pPr>
      <w:r w:rsidRPr="006C6AF0">
        <w:t>Схематично это можно представить так.</w:t>
      </w:r>
    </w:p>
    <w:p w:rsidR="006C6AF0" w:rsidRPr="006C6AF0" w:rsidRDefault="006C6AF0" w:rsidP="006C6AF0">
      <w:pPr>
        <w:pStyle w:val="ConsPlusNormal"/>
        <w:spacing w:before="240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rPr>
          <w:noProof/>
          <w:position w:val="-3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36.4pt;height:330.55pt;visibility:visible;mso-wrap-style:square">
            <v:imagedata r:id="rId8" o:title=""/>
          </v:shape>
        </w:pic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lastRenderedPageBreak/>
        <w:t>Если решите продать ОС, первоначальная стоимость которого сформирована с повышающим коэффициентом, учтите, что убыток от его реализации приравнивается к нулю. Учесть его при исчислении налога на прибыль не получится (п. 3 ст. 268 НК РФ).</w: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outlineLvl w:val="0"/>
      </w:pPr>
      <w:bookmarkStart w:id="5" w:name="P71"/>
      <w:bookmarkEnd w:id="5"/>
      <w:r w:rsidRPr="006C6AF0">
        <w:rPr>
          <w:b/>
        </w:rPr>
        <w:t>3. Повышающие коэффициенты при учете затрат, связанных с приобретением прав на программы, базы данных, программно-аппаратные комплексы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Расходы, связанные с приобретением программ, баз данных, можно учесть в большей сумме, чем раньше, если программа, база данных соответствует двум критериям (п. п. 1, 3 ст. 257, пп. 26 п. 1 ст. 264 НК РФ):</w:t>
      </w:r>
    </w:p>
    <w:p w:rsidR="006C6AF0" w:rsidRPr="006C6AF0" w:rsidRDefault="006C6AF0" w:rsidP="006C6AF0">
      <w:pPr>
        <w:pStyle w:val="ConsPlusNormal"/>
        <w:numPr>
          <w:ilvl w:val="0"/>
          <w:numId w:val="41"/>
        </w:numPr>
        <w:adjustRightInd/>
        <w:spacing w:before="220"/>
        <w:jc w:val="both"/>
      </w:pPr>
      <w:r w:rsidRPr="006C6AF0">
        <w:t>является российской;</w:t>
      </w:r>
    </w:p>
    <w:p w:rsidR="006C6AF0" w:rsidRPr="006C6AF0" w:rsidRDefault="006C6AF0" w:rsidP="006C6AF0">
      <w:pPr>
        <w:pStyle w:val="ConsPlusNormal"/>
        <w:numPr>
          <w:ilvl w:val="0"/>
          <w:numId w:val="41"/>
        </w:numPr>
        <w:adjustRightInd/>
        <w:spacing w:before="220"/>
        <w:jc w:val="both"/>
      </w:pPr>
      <w:r w:rsidRPr="006C6AF0">
        <w:t>включена в специальный реестр.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Это стало возможным за счет изменения порядка применения специальных коэффициентов:</w:t>
      </w:r>
    </w:p>
    <w:p w:rsidR="006C6AF0" w:rsidRPr="006C6AF0" w:rsidRDefault="006C6AF0" w:rsidP="006C6AF0">
      <w:pPr>
        <w:pStyle w:val="ConsPlusNormal"/>
        <w:numPr>
          <w:ilvl w:val="0"/>
          <w:numId w:val="42"/>
        </w:numPr>
        <w:adjustRightInd/>
        <w:spacing w:before="220"/>
        <w:jc w:val="both"/>
      </w:pPr>
      <w:r w:rsidRPr="006C6AF0">
        <w:t>на повышающие коэффициенты можно скорректировать больший круг расходов, так как условий для их применения стало меньше. Раньше они применялись, только если программа, база данных относилась к сфере искусственного интеллекта. А сейчас это не является условием их использования;</w:t>
      </w:r>
    </w:p>
    <w:p w:rsidR="006C6AF0" w:rsidRPr="006C6AF0" w:rsidRDefault="006C6AF0" w:rsidP="006C6AF0">
      <w:pPr>
        <w:pStyle w:val="ConsPlusNormal"/>
        <w:numPr>
          <w:ilvl w:val="0"/>
          <w:numId w:val="42"/>
        </w:numPr>
        <w:adjustRightInd/>
        <w:spacing w:before="220"/>
        <w:jc w:val="both"/>
      </w:pPr>
      <w:r w:rsidRPr="006C6AF0">
        <w:t>значения коэффициентов, которые раньше использовались при приобретении программ и баз данных, увеличены с 1,5 до 2;</w:t>
      </w:r>
    </w:p>
    <w:p w:rsidR="006C6AF0" w:rsidRPr="006C6AF0" w:rsidRDefault="006C6AF0" w:rsidP="006C6AF0">
      <w:pPr>
        <w:pStyle w:val="ConsPlusNormal"/>
        <w:numPr>
          <w:ilvl w:val="0"/>
          <w:numId w:val="42"/>
        </w:numPr>
        <w:adjustRightInd/>
        <w:spacing w:before="220"/>
        <w:jc w:val="both"/>
      </w:pPr>
      <w:r w:rsidRPr="006C6AF0">
        <w:t>введены новые категории объектов, по которым применим коэффициент 2.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Перечислим, какие коэффициенты можно применить с учетом этих изменений.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1. Повышающий коэффициент 2, увеличивающий первоначальную стоимость следующих объектов:</w:t>
      </w:r>
    </w:p>
    <w:p w:rsidR="006C6AF0" w:rsidRPr="006C6AF0" w:rsidRDefault="006C6AF0" w:rsidP="006C6AF0">
      <w:pPr>
        <w:pStyle w:val="ConsPlusNormal"/>
        <w:numPr>
          <w:ilvl w:val="0"/>
          <w:numId w:val="43"/>
        </w:numPr>
        <w:adjustRightInd/>
        <w:spacing w:before="220"/>
        <w:jc w:val="both"/>
      </w:pPr>
      <w:r w:rsidRPr="006C6AF0">
        <w:t>ОС, включенных в единый реестр российских программ для ЭВМ и баз данных (п. 1 ст. 257 НК РФ). Раньше повышающего коэффициента по ним не было;</w:t>
      </w:r>
    </w:p>
    <w:p w:rsidR="006C6AF0" w:rsidRPr="006C6AF0" w:rsidRDefault="006C6AF0" w:rsidP="006C6AF0">
      <w:pPr>
        <w:pStyle w:val="ConsPlusNormal"/>
        <w:numPr>
          <w:ilvl w:val="0"/>
          <w:numId w:val="43"/>
        </w:numPr>
        <w:adjustRightInd/>
        <w:spacing w:before="220"/>
        <w:jc w:val="both"/>
      </w:pPr>
      <w:r w:rsidRPr="006C6AF0">
        <w:t>НМА в виде исключительных прав на программы, базы данных, которые включены в этот же реестр. Повышающий коэффициент по ним существовал и раньше, но был увеличен с 1,5 до 2 (п. 3 ст. 257 НК РФ).</w:t>
      </w:r>
    </w:p>
    <w:p w:rsidR="006C6AF0" w:rsidRPr="006C6AF0" w:rsidRDefault="006C6AF0" w:rsidP="006C6AF0">
      <w:pPr>
        <w:pStyle w:val="ConsPlusNormal"/>
        <w:spacing w:before="220"/>
        <w:ind w:left="540"/>
        <w:jc w:val="both"/>
      </w:pPr>
      <w:r w:rsidRPr="006C6AF0">
        <w:rPr>
          <w:b/>
        </w:rPr>
        <w:t>Важно!</w:t>
      </w:r>
      <w:r w:rsidRPr="006C6AF0">
        <w:t xml:space="preserve"> Чтобы применить коэффициент в отношении НМА, программа (база данных) должна быть включена в соответствующий реестр на момент ввода в эксплуатацию. Если в последующем она исключается из реестра, первоначальная стоимость НМА не меняется. Пересчитывать ее без коэффициента не нужно. Основание - Письмо Минфина России от 17.01.2025 N 03-03-06/1/3127. В нем сделаны выводы в отношении программ для ЭВМ, но их можно распространить и на базы данных.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Воспользоваться коэффициентом 2 можно, если он предусмотрен в учетной политике для целей налогообложения. Это следует из п. 1 Письма Минфина России от 08.11.2022 N 03-03-06/1/108245. В разъяснениях упоминается прежнее значение коэффициента, так как они основаны на старой редакции п. п. 1, 3 ст. 257 НК РФ. Полагаем, что ими можно руководствоваться и после изменения этих норм.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Применив коэффициент 2, вы можете отнести на расходы через амортизацию большую сумму, чем потратили на приобретение или создание НМА, его доведение до состояния, пригодного к использованию, на приобретение ОС и его сооружение, изготовление, доставку, доведение до состояния, пригодного к использованию.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bookmarkStart w:id="6" w:name="P87"/>
            <w:bookmarkEnd w:id="6"/>
            <w:r w:rsidRPr="006C6AF0">
              <w:rPr>
                <w:u w:val="single"/>
              </w:rPr>
              <w:t>Пример расчета амортизации с использованием нового и старого коэффициентов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Организация приобретает нематериальный актив - исключительные права на российскую программу для ЭВМ, включенную в специальный реестр. Стоимость ее приобретения - 1 800 000,00 руб. (без НДС). Организация определила срок ее полезного использования - 30 месяцев. Амортизация начисляется линейным методом.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При использовании нового повышающего коэффициента показатели такие: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4"/>
              </w:numPr>
              <w:adjustRightInd/>
              <w:spacing w:before="220"/>
              <w:jc w:val="both"/>
            </w:pPr>
            <w:r w:rsidRPr="006C6AF0">
              <w:t>первоначальная стоимость НМА - 3 600 000,00 руб. (1 800 000,00 руб. x 2);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4"/>
              </w:numPr>
              <w:adjustRightInd/>
              <w:spacing w:before="220"/>
              <w:jc w:val="both"/>
            </w:pPr>
            <w:r w:rsidRPr="006C6AF0">
              <w:lastRenderedPageBreak/>
              <w:t>сумма ежемесячных амортизационных начислений - 120 000,00 руб. (3 600 000,00 руб. / 30);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4"/>
              </w:numPr>
              <w:adjustRightInd/>
              <w:spacing w:before="220"/>
              <w:jc w:val="both"/>
            </w:pPr>
            <w:r w:rsidRPr="006C6AF0">
              <w:t xml:space="preserve">общая сумма, которую организация отнесет на расходы через амортизацию в течение срока ее начисления, - 3 600 000,00 руб. Она </w:t>
            </w:r>
            <w:r w:rsidRPr="006C6AF0">
              <w:rPr>
                <w:b/>
              </w:rPr>
              <w:t>вдвое больше, чем было потрачено</w:t>
            </w:r>
            <w:r w:rsidRPr="006C6AF0">
              <w:t xml:space="preserve"> на приобретение НМА.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rPr>
                <w:b/>
              </w:rPr>
              <w:t>Для сравнения</w:t>
            </w:r>
            <w:r w:rsidRPr="006C6AF0">
              <w:t xml:space="preserve"> приведем, какие были бы показатели при использовании старого коэффициента: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5"/>
              </w:numPr>
              <w:adjustRightInd/>
              <w:spacing w:before="220"/>
              <w:jc w:val="both"/>
            </w:pPr>
            <w:r w:rsidRPr="006C6AF0">
              <w:t>первоначальная стоимость НМА - 2 700 000,00 руб. (1 800 000,00 руб. x 1,5);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5"/>
              </w:numPr>
              <w:adjustRightInd/>
              <w:spacing w:before="220"/>
              <w:jc w:val="both"/>
            </w:pPr>
            <w:r w:rsidRPr="006C6AF0">
              <w:t>сумма ежемесячных амортизационных начислений - 90 000,00 руб. (2 700 000,00 руб. / 30);</w:t>
            </w:r>
          </w:p>
          <w:p w:rsidR="006C6AF0" w:rsidRPr="006C6AF0" w:rsidRDefault="006C6AF0" w:rsidP="006C6AF0">
            <w:pPr>
              <w:pStyle w:val="ConsPlusNormal"/>
              <w:numPr>
                <w:ilvl w:val="0"/>
                <w:numId w:val="45"/>
              </w:numPr>
              <w:adjustRightInd/>
              <w:spacing w:before="220"/>
              <w:jc w:val="both"/>
            </w:pPr>
            <w:r w:rsidRPr="006C6AF0">
              <w:t>общая сумма амортизации, списываемая в течение срока ее начисления, - 2 700 000,00 руб.</w:t>
            </w:r>
          </w:p>
        </w:tc>
      </w:tr>
    </w:tbl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t>Если сформируете первоначальную стоимость НМА или ОС с применением рассматриваемого коэффициента, то при его продаже убыток от реализации приравнивается к нулю. Учесть убыток для целей налога на прибыль не получится (п. 3 ст. 268 НК РФ).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2. Повышающий коэффициент 2, который увеличивает сумму следующих затрат, включаемых в прочие расходы (пп. 26 п. 1 ст. 264 НК РФ):</w:t>
      </w:r>
    </w:p>
    <w:p w:rsidR="006C6AF0" w:rsidRPr="006C6AF0" w:rsidRDefault="006C6AF0" w:rsidP="006C6AF0">
      <w:pPr>
        <w:pStyle w:val="ConsPlusNormal"/>
        <w:numPr>
          <w:ilvl w:val="0"/>
          <w:numId w:val="46"/>
        </w:numPr>
        <w:adjustRightInd/>
        <w:spacing w:before="220"/>
        <w:jc w:val="both"/>
      </w:pPr>
      <w:r w:rsidRPr="006C6AF0">
        <w:t xml:space="preserve">затрат, связанных с приобретением по лицензионным или </w:t>
      </w:r>
      <w:proofErr w:type="spellStart"/>
      <w:r w:rsidRPr="006C6AF0">
        <w:t>сублицензионным</w:t>
      </w:r>
      <w:proofErr w:type="spellEnd"/>
      <w:r w:rsidRPr="006C6AF0">
        <w:t xml:space="preserve"> соглашениям с правообладателями права использовать программы, базы данных, программно-аппаратные комплексы, включенные в специальный реестр;</w:t>
      </w:r>
    </w:p>
    <w:p w:rsidR="006C6AF0" w:rsidRPr="006C6AF0" w:rsidRDefault="006C6AF0" w:rsidP="006C6AF0">
      <w:pPr>
        <w:pStyle w:val="ConsPlusNormal"/>
        <w:numPr>
          <w:ilvl w:val="0"/>
          <w:numId w:val="46"/>
        </w:numPr>
        <w:adjustRightInd/>
        <w:spacing w:before="220"/>
        <w:jc w:val="both"/>
      </w:pPr>
      <w:r w:rsidRPr="006C6AF0">
        <w:t>затрат на приобретение исключительных прав на программу, которые не признаются амортизируемым НМА, так как затраты не превысили 100 000,00 руб. Вывод следует из анализа Письма ФНС России от 07.03.2023 N СД-4-3/2672@ и п. 3 ст. 257 НК РФ. Однако возможна и другая позиция, согласно которой коэффициент можно применять только к первым из названных затрат. Рекомендуем уточнить это в своей инспекции.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Чтобы его использовать, закрепите коэффициент 2 в учетной политике для целей налогообложения.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Если воспользуетесь коэффициентом 2, то сможете отнести на прочие расходы сумму, которая вдвое превышает фактически понесенные затраты.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bookmarkStart w:id="7" w:name="P105"/>
            <w:bookmarkEnd w:id="7"/>
            <w:r w:rsidRPr="006C6AF0">
              <w:rPr>
                <w:u w:val="single"/>
              </w:rPr>
              <w:t>Пример определения суммы затрат, учитываемой с коэффициентом 2 в прочих расходах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Организация в 2025 г. приобрела по лицензионному договору на год право использовать российскую программу. Программа включена в специальный реестр. Стоимость ее приобретения - 300 000,00 руб.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Использовав повышающий коэффициент 2, организация отнесла на прочие расходы 600 000,00 (300 000,00 руб. x 2). Это вдвое больше, чем фактические затраты на ее приобретение.</w:t>
            </w:r>
          </w:p>
        </w:tc>
      </w:tr>
    </w:tbl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t>Расходы на адаптацию и модификацию программ для ЭВМ и баз данных учитывайте в размере фактических затрат без применения к ним повышающего коэффициента 2 (пп. 26 п. 1 ст. 264 НК РФ, Письмо Минфина России от 05.12.2024 N 03-03-06/122830).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Если в текущем году вы признаете расходы на приобретение права на использование программ (баз данных) из реестра, которые относятся к сфере искусственного интеллекта, но произведены они до 2025 г., применяйте прежний коэффициент 1,5, а не 2 (п. 1 ст. 272 НК РФ, Письмо Минфина России от 05.12.2024 N 03-03-06/122830).</w: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outlineLvl w:val="0"/>
      </w:pPr>
      <w:bookmarkStart w:id="8" w:name="P112"/>
      <w:bookmarkEnd w:id="8"/>
      <w:r w:rsidRPr="006C6AF0">
        <w:rPr>
          <w:b/>
        </w:rPr>
        <w:t>4. Повышающий коэффициент при учете расходов на НИОКР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Повышающий коэффициент для расходов на НИОКР увеличен с 1,5 до 2 (п. 7 ст. 262 НК РФ).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 xml:space="preserve">Повышающим коэффициентом 2 может воспользоваться организация, которая производит для себя </w:t>
      </w:r>
      <w:r w:rsidRPr="006C6AF0">
        <w:lastRenderedPageBreak/>
        <w:t>самостоятельно или заказывает у стороннего исполнителя НИОКР из утвержденного перечня. Значительную часть затрат на них при определенных условиях она может учесть в размере, умноженном на повышающий коэффициент (п. п. 1, 7, 8, 9 ст. 262 НК РФ).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Для малых технологических компаний, включенных в специальный реестр, есть особенности. Одна из них состоит в том, что отдельные расходы на НИОКР они учитывают с коэффициентом 2 независимо от их включения в утвержденный перечень.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568"/>
        <w:gridCol w:w="180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  <w:r w:rsidRPr="006C6AF0">
              <w:rPr>
                <w:noProof/>
              </w:rPr>
              <w:pict>
                <v:shape id="_x0000_i1031" type="#_x0000_t75" style="width:11.9pt;height:11.9pt;visibility:visible;mso-wrap-style:square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r w:rsidRPr="006C6AF0">
              <w:t>См. также: Как применять повышающий коэффициент при учете расходов на выполнение НИОКР, приобретение ПО и программно-аппаратных комплексов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6AF0" w:rsidRPr="006C6AF0" w:rsidRDefault="006C6AF0" w:rsidP="004E6FC2">
            <w:pPr>
              <w:pStyle w:val="ConsPlusNormal"/>
            </w:pPr>
          </w:p>
        </w:tc>
      </w:tr>
    </w:tbl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t>В зависимости от того, возникает ли у вас в результате НИОКР нематериальный актив, сумму соответствующих затрат, скорректированную на коэффициент, вы включаете в расходы по-разному.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rPr>
          <w:b/>
        </w:rPr>
        <w:t>Если НМА возникает</w:t>
      </w:r>
      <w:r w:rsidRPr="006C6AF0">
        <w:t>, то есть вы получаете исключительные права на результаты интеллектуальной деятельности, признаваемые нематериальными активами, эту сумму учитывайте в расходах постепенно одним из следующих способов:</w:t>
      </w:r>
    </w:p>
    <w:p w:rsidR="006C6AF0" w:rsidRPr="006C6AF0" w:rsidRDefault="006C6AF0" w:rsidP="006C6AF0">
      <w:pPr>
        <w:pStyle w:val="ConsPlusNormal"/>
        <w:numPr>
          <w:ilvl w:val="0"/>
          <w:numId w:val="47"/>
        </w:numPr>
        <w:adjustRightInd/>
        <w:spacing w:before="220"/>
        <w:jc w:val="both"/>
      </w:pPr>
      <w:r w:rsidRPr="006C6AF0">
        <w:t>через амортизацию;</w:t>
      </w:r>
    </w:p>
    <w:p w:rsidR="006C6AF0" w:rsidRPr="006C6AF0" w:rsidRDefault="006C6AF0" w:rsidP="006C6AF0">
      <w:pPr>
        <w:pStyle w:val="ConsPlusNormal"/>
        <w:numPr>
          <w:ilvl w:val="0"/>
          <w:numId w:val="47"/>
        </w:numPr>
        <w:adjustRightInd/>
        <w:spacing w:before="220"/>
        <w:jc w:val="both"/>
      </w:pPr>
      <w:r w:rsidRPr="006C6AF0">
        <w:t>путем включения в прочие расходы, связанные с производством и реализацией, в течение двух лет.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Выбранный вариант их учета нужно зафиксировать в учетной политике для целей налогообложения.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rPr>
          <w:b/>
        </w:rPr>
        <w:t>Если НМА не возникает</w:t>
      </w:r>
      <w:r w:rsidRPr="006C6AF0">
        <w:t>, сумму соответствующих затрат, скорректированную на коэффициент, учитывайте в прочих расходах. Включите ее в прочие расходы на момент, когда исследования, разработки или отдельные этапы работ завершены (п. 7 ст. 262 НК РФ).</w:t>
      </w:r>
    </w:p>
    <w:p w:rsidR="006C6AF0" w:rsidRPr="006C6AF0" w:rsidRDefault="006C6AF0" w:rsidP="006C6AF0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6C6AF0" w:rsidRPr="006C6AF0" w:rsidTr="004E6F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C6AF0" w:rsidRPr="006C6AF0" w:rsidRDefault="006C6AF0" w:rsidP="004E6FC2">
            <w:pPr>
              <w:pStyle w:val="ConsPlusNormal"/>
              <w:jc w:val="both"/>
            </w:pPr>
            <w:bookmarkStart w:id="9" w:name="P126"/>
            <w:bookmarkEnd w:id="9"/>
            <w:r w:rsidRPr="006C6AF0">
              <w:rPr>
                <w:u w:val="single"/>
              </w:rPr>
              <w:t>Пример расчета расходов на НИОКР с применением повышающего коэффициента 2</w:t>
            </w:r>
          </w:p>
          <w:p w:rsidR="006C6AF0" w:rsidRPr="006C6AF0" w:rsidRDefault="006C6AF0" w:rsidP="004E6FC2">
            <w:pPr>
              <w:pStyle w:val="ConsPlusNormal"/>
              <w:spacing w:before="220"/>
              <w:jc w:val="both"/>
            </w:pPr>
            <w:r w:rsidRPr="006C6AF0">
              <w:t>Организация понесла затраты на научные исследования, которые можно учесть с коэффициентом в прочих расходах на момент завершения исследований. Их сумма - 1 000 000,00 руб. Воспользовавшись повышающим коэффициентом, она отнесла на прочие расходы 2 000 000,00 руб. (1 000 000,00 руб. x 2) - сумму, которая в два раза больше, чем потраченная.</w:t>
            </w:r>
          </w:p>
        </w:tc>
      </w:tr>
    </w:tbl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outlineLvl w:val="0"/>
      </w:pPr>
      <w:bookmarkStart w:id="10" w:name="P132"/>
      <w:bookmarkEnd w:id="10"/>
      <w:r w:rsidRPr="006C6AF0">
        <w:rPr>
          <w:b/>
        </w:rPr>
        <w:t>5. Федеральный инвестиционный налоговый вычет по налогу на прибыль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Федеральный инвестиционный налоговый вычет предусмотрен ст. 286.2 НК РФ.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Его можно применить, если вы плательщик налога на прибыль и одновременно выполняются следующие условия (п. п. 1, 2, 10 ст. 286.2 НК РФ, п. 1 Постановления Правительства РФ от 28.11.2024 N 1638, Приложение к этому Постановлению):</w:t>
      </w:r>
    </w:p>
    <w:p w:rsidR="006C6AF0" w:rsidRPr="006C6AF0" w:rsidRDefault="006C6AF0" w:rsidP="006C6AF0">
      <w:pPr>
        <w:pStyle w:val="ConsPlusNormal"/>
        <w:numPr>
          <w:ilvl w:val="0"/>
          <w:numId w:val="48"/>
        </w:numPr>
        <w:adjustRightInd/>
        <w:spacing w:before="220"/>
        <w:jc w:val="both"/>
      </w:pPr>
      <w:r w:rsidRPr="006C6AF0">
        <w:t>ваш основной вид деятельности по данным ЕГРЮЛ по состоянию на 1 января 2024 г. включен в любую из следующих группировок ОКВЭД: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раздел "Добыча полезных ископаемых";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раздел "Обрабатывающие производства", кроме классов "Производство пищевых продуктов", "Производство напитков", "Производство табачных изделий";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раздел "Обеспечение электрической энергией, газом и паром; кондиционирование воздуха";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раздел "Деятельность гостиниц и предприятий общественного питания";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класс "Научные исследования и разработки";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>класс "Деятельность в сфере телекоммуникаций";</w:t>
      </w:r>
    </w:p>
    <w:p w:rsidR="006C6AF0" w:rsidRPr="006C6AF0" w:rsidRDefault="006C6AF0" w:rsidP="006C6AF0">
      <w:pPr>
        <w:pStyle w:val="ConsPlusNormal"/>
        <w:numPr>
          <w:ilvl w:val="1"/>
          <w:numId w:val="48"/>
        </w:numPr>
        <w:adjustRightInd/>
        <w:spacing w:before="220"/>
        <w:jc w:val="both"/>
      </w:pPr>
      <w:r w:rsidRPr="006C6AF0">
        <w:t xml:space="preserve">класс "Деятельность в области информационных технологий", и при этом таким основным видом </w:t>
      </w:r>
      <w:r w:rsidRPr="006C6AF0">
        <w:lastRenderedPageBreak/>
        <w:t>деятельности выступают обработка данных, услуги по размещению информации, связанная с этим деятельность;</w:t>
      </w:r>
    </w:p>
    <w:p w:rsidR="006C6AF0" w:rsidRPr="006C6AF0" w:rsidRDefault="006C6AF0" w:rsidP="006C6AF0">
      <w:pPr>
        <w:pStyle w:val="ConsPlusNormal"/>
        <w:numPr>
          <w:ilvl w:val="0"/>
          <w:numId w:val="48"/>
        </w:numPr>
        <w:adjustRightInd/>
        <w:spacing w:before="220"/>
        <w:jc w:val="both"/>
      </w:pPr>
      <w:r w:rsidRPr="006C6AF0">
        <w:t>вы несете расходы, к которым можно применить вычет, либо входите в одну группу лиц с организацией, которая их несет и которая передала вам данные налогового учета и копии документов, подтверждающих расходы;</w:t>
      </w:r>
    </w:p>
    <w:p w:rsidR="006C6AF0" w:rsidRPr="006C6AF0" w:rsidRDefault="006C6AF0" w:rsidP="006C6AF0">
      <w:pPr>
        <w:pStyle w:val="ConsPlusNormal"/>
        <w:numPr>
          <w:ilvl w:val="0"/>
          <w:numId w:val="48"/>
        </w:numPr>
        <w:adjustRightInd/>
        <w:spacing w:before="220"/>
        <w:jc w:val="both"/>
      </w:pPr>
      <w:r w:rsidRPr="006C6AF0">
        <w:t>вы не входите ни в одну из категорий лиц, которые не вправе применять вычет.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Вычет введен одновременно с поднятием ставки по налогу на прибыль. Он позволяет снизить налог на прибыль и авансовые платежи по нему в пределах, соответствующих ее увеличению. Для большинства плательщиков ставка выросла до 25%. Ее рост связан с повышением ставки в федеральный бюджет с 3% до 8%.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Используя вычет, можно уменьшить налог, авансовый платеж, рассчитываемый по ставке в федеральный бюджет, но не больше чем до суммы, рассчитанной по ставке 3%, - по существу, по той ставке, которая была до ее повышения. Снижать налог, авансовый платеж ниже этого предельного значения с помощью вычета нельзя (п. 6 ст. 286.2 НК РФ).</w: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  <w:r w:rsidRPr="006C6AF0">
        <w:rPr>
          <w:noProof/>
          <w:position w:val="-173"/>
        </w:rPr>
        <w:pict>
          <v:shape id="Консультант Плюс" o:spid="_x0000_i1029" type="#_x0000_t75" style="width:436.4pt;height:184.7pt;visibility:visible;mso-wrap-style:square">
            <v:imagedata r:id="rId10" o:title=""/>
          </v:shape>
        </w:pic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outlineLvl w:val="0"/>
        <w:rPr>
          <w:b/>
        </w:rPr>
      </w:pPr>
      <w:bookmarkStart w:id="11" w:name="P153"/>
      <w:bookmarkEnd w:id="11"/>
    </w:p>
    <w:p w:rsidR="006C6AF0" w:rsidRPr="006C6AF0" w:rsidRDefault="006C6AF0" w:rsidP="006C6AF0">
      <w:pPr>
        <w:pStyle w:val="ConsPlusNormal"/>
        <w:outlineLvl w:val="0"/>
      </w:pPr>
      <w:r w:rsidRPr="006C6AF0">
        <w:rPr>
          <w:b/>
        </w:rPr>
        <w:t>6. Пониженная ставка по налогу на прибыль для малых технологических компаний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В период до 2030 г. включительно для российских организаций, внесенных в реестр малых технологических компаний, регионы могут понижать ставку по налогу на прибыль (п. 1.8-5 ст. 284 НК РФ).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Льготная ставка по нему устанавливается законом субъекта РФ. Она снижается только в части налога, зачисляемой в региональный бюджет. В законе субъекта РФ могут предусматриваться:</w:t>
      </w:r>
    </w:p>
    <w:p w:rsidR="006C6AF0" w:rsidRPr="006C6AF0" w:rsidRDefault="006C6AF0" w:rsidP="006C6AF0">
      <w:pPr>
        <w:pStyle w:val="ConsPlusNormal"/>
        <w:numPr>
          <w:ilvl w:val="0"/>
          <w:numId w:val="49"/>
        </w:numPr>
        <w:adjustRightInd/>
        <w:spacing w:before="220"/>
        <w:jc w:val="both"/>
      </w:pPr>
      <w:r w:rsidRPr="006C6AF0">
        <w:t>различные размеры льготных ставок для разных видов малых технологических компаний;</w:t>
      </w:r>
    </w:p>
    <w:p w:rsidR="006C6AF0" w:rsidRPr="006C6AF0" w:rsidRDefault="006C6AF0" w:rsidP="006C6AF0">
      <w:pPr>
        <w:pStyle w:val="ConsPlusNormal"/>
        <w:numPr>
          <w:ilvl w:val="0"/>
          <w:numId w:val="49"/>
        </w:numPr>
        <w:adjustRightInd/>
        <w:spacing w:before="220"/>
        <w:jc w:val="both"/>
      </w:pPr>
      <w:r w:rsidRPr="006C6AF0">
        <w:t>дополнительные требования к ним и условия применения данной льготы.</w:t>
      </w:r>
    </w:p>
    <w:p w:rsidR="006C6AF0" w:rsidRPr="006C6AF0" w:rsidRDefault="006C6AF0" w:rsidP="006C6AF0">
      <w:pPr>
        <w:pStyle w:val="ConsPlusNormal"/>
        <w:spacing w:before="220"/>
        <w:jc w:val="both"/>
      </w:pPr>
      <w:r w:rsidRPr="006C6AF0">
        <w:t>Если ваш регион установил льготную ставку, то пользоваться ею можно, пока вы включены в реестр малых технологических компаний. Если вас из него исключают, вы утрачиваете право на льготу.</w:t>
      </w: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jc w:val="both"/>
      </w:pPr>
    </w:p>
    <w:p w:rsidR="006C6AF0" w:rsidRPr="006C6AF0" w:rsidRDefault="006C6AF0" w:rsidP="006C6AF0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6C6AF0" w:rsidRPr="006C6AF0" w:rsidRDefault="006C6AF0" w:rsidP="006C6AF0">
      <w:pPr>
        <w:rPr>
          <w:rFonts w:ascii="Arial" w:hAnsi="Arial" w:cs="Arial"/>
          <w:sz w:val="20"/>
          <w:szCs w:val="20"/>
        </w:rPr>
      </w:pPr>
    </w:p>
    <w:p w:rsidR="00D43F17" w:rsidRPr="006C6AF0" w:rsidRDefault="00D43F17" w:rsidP="000331DC">
      <w:pPr>
        <w:rPr>
          <w:rFonts w:ascii="Arial" w:hAnsi="Arial" w:cs="Arial"/>
          <w:sz w:val="20"/>
          <w:szCs w:val="20"/>
        </w:rPr>
      </w:pPr>
    </w:p>
    <w:sectPr w:rsidR="00D43F17" w:rsidRPr="006C6AF0" w:rsidSect="006C6A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6C6AF0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6C6AF0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6" type="#_x0000_t75" style="width:127.1pt;height:30.7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6C6AF0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6C6AF0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8" type="#_x0000_t75" style="width:127.1pt;height:30.7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6C6AF0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7" type="#_x0000_t75" style="width:189.1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6C6AF0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6C6AF0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44684"/>
    <w:multiLevelType w:val="multilevel"/>
    <w:tmpl w:val="089C86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D3FDB"/>
    <w:multiLevelType w:val="multilevel"/>
    <w:tmpl w:val="D45099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764B7"/>
    <w:multiLevelType w:val="multilevel"/>
    <w:tmpl w:val="284418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62CE9"/>
    <w:multiLevelType w:val="multilevel"/>
    <w:tmpl w:val="54E8B2B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02A6D"/>
    <w:multiLevelType w:val="multilevel"/>
    <w:tmpl w:val="AC26AF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16EA"/>
    <w:multiLevelType w:val="multilevel"/>
    <w:tmpl w:val="9FEA5D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4326D"/>
    <w:multiLevelType w:val="multilevel"/>
    <w:tmpl w:val="60FAF1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72107"/>
    <w:multiLevelType w:val="multilevel"/>
    <w:tmpl w:val="694E5A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>
    <w:nsid w:val="59461743"/>
    <w:multiLevelType w:val="multilevel"/>
    <w:tmpl w:val="31B2E0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20D25"/>
    <w:multiLevelType w:val="multilevel"/>
    <w:tmpl w:val="DDBE6E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BC5EE7"/>
    <w:multiLevelType w:val="multilevel"/>
    <w:tmpl w:val="387670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C4956"/>
    <w:multiLevelType w:val="multilevel"/>
    <w:tmpl w:val="6CEAC7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186A6B"/>
    <w:multiLevelType w:val="multilevel"/>
    <w:tmpl w:val="B02297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593AA4"/>
    <w:multiLevelType w:val="multilevel"/>
    <w:tmpl w:val="DD6E89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8B1437"/>
    <w:multiLevelType w:val="multilevel"/>
    <w:tmpl w:val="88D837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2C26D6"/>
    <w:multiLevelType w:val="multilevel"/>
    <w:tmpl w:val="533EC1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6"/>
  </w:num>
  <w:num w:numId="3">
    <w:abstractNumId w:val="17"/>
  </w:num>
  <w:num w:numId="4">
    <w:abstractNumId w:val="10"/>
  </w:num>
  <w:num w:numId="5">
    <w:abstractNumId w:val="38"/>
  </w:num>
  <w:num w:numId="6">
    <w:abstractNumId w:val="24"/>
  </w:num>
  <w:num w:numId="7">
    <w:abstractNumId w:val="23"/>
  </w:num>
  <w:num w:numId="8">
    <w:abstractNumId w:val="5"/>
  </w:num>
  <w:num w:numId="9">
    <w:abstractNumId w:val="29"/>
  </w:num>
  <w:num w:numId="10">
    <w:abstractNumId w:val="2"/>
  </w:num>
  <w:num w:numId="11">
    <w:abstractNumId w:val="40"/>
  </w:num>
  <w:num w:numId="12">
    <w:abstractNumId w:val="0"/>
  </w:num>
  <w:num w:numId="13">
    <w:abstractNumId w:val="48"/>
  </w:num>
  <w:num w:numId="14">
    <w:abstractNumId w:val="37"/>
  </w:num>
  <w:num w:numId="15">
    <w:abstractNumId w:val="16"/>
  </w:num>
  <w:num w:numId="16">
    <w:abstractNumId w:val="1"/>
  </w:num>
  <w:num w:numId="17">
    <w:abstractNumId w:val="28"/>
  </w:num>
  <w:num w:numId="18">
    <w:abstractNumId w:val="34"/>
  </w:num>
  <w:num w:numId="19">
    <w:abstractNumId w:val="11"/>
  </w:num>
  <w:num w:numId="20">
    <w:abstractNumId w:val="33"/>
  </w:num>
  <w:num w:numId="21">
    <w:abstractNumId w:val="8"/>
  </w:num>
  <w:num w:numId="22">
    <w:abstractNumId w:val="27"/>
  </w:num>
  <w:num w:numId="23">
    <w:abstractNumId w:val="14"/>
  </w:num>
  <w:num w:numId="24">
    <w:abstractNumId w:val="39"/>
  </w:num>
  <w:num w:numId="25">
    <w:abstractNumId w:val="31"/>
  </w:num>
  <w:num w:numId="26">
    <w:abstractNumId w:val="35"/>
  </w:num>
  <w:num w:numId="27">
    <w:abstractNumId w:val="25"/>
  </w:num>
  <w:num w:numId="28">
    <w:abstractNumId w:val="20"/>
  </w:num>
  <w:num w:numId="29">
    <w:abstractNumId w:val="6"/>
  </w:num>
  <w:num w:numId="30">
    <w:abstractNumId w:val="9"/>
  </w:num>
  <w:num w:numId="31">
    <w:abstractNumId w:val="21"/>
  </w:num>
  <w:num w:numId="32">
    <w:abstractNumId w:val="3"/>
  </w:num>
  <w:num w:numId="33">
    <w:abstractNumId w:val="13"/>
  </w:num>
  <w:num w:numId="34">
    <w:abstractNumId w:val="46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43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41"/>
    <w:lvlOverride w:ilvl="0">
      <w:startOverride w:val="1"/>
    </w:lvlOverride>
  </w:num>
  <w:num w:numId="42">
    <w:abstractNumId w:val="42"/>
    <w:lvlOverride w:ilvl="0">
      <w:startOverride w:val="1"/>
    </w:lvlOverride>
  </w:num>
  <w:num w:numId="43">
    <w:abstractNumId w:val="44"/>
    <w:lvlOverride w:ilvl="0">
      <w:startOverride w:val="1"/>
    </w:lvlOverride>
  </w:num>
  <w:num w:numId="44">
    <w:abstractNumId w:val="45"/>
    <w:lvlOverride w:ilvl="0">
      <w:startOverride w:val="1"/>
    </w:lvlOverride>
  </w:num>
  <w:num w:numId="45">
    <w:abstractNumId w:val="26"/>
    <w:lvlOverride w:ilvl="0">
      <w:startOverride w:val="1"/>
    </w:lvlOverride>
  </w:num>
  <w:num w:numId="46">
    <w:abstractNumId w:val="47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C6AF0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B63A-8E81-468B-8A22-7053244D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2D855264</Template>
  <TotalTime>1</TotalTime>
  <Pages>7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2025-03-06T13:11:00Z</dcterms:created>
  <dcterms:modified xsi:type="dcterms:W3CDTF">2025-03-06T13:11:00Z</dcterms:modified>
</cp:coreProperties>
</file>