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57" w:rsidRPr="00F03B57" w:rsidRDefault="00F03B57" w:rsidP="00F03B57">
      <w:pPr>
        <w:pStyle w:val="ConsPlusNormal"/>
        <w:jc w:val="right"/>
        <w:outlineLvl w:val="0"/>
      </w:pPr>
      <w:r w:rsidRPr="00F03B57">
        <w:t>Приложение N 2</w:t>
      </w:r>
    </w:p>
    <w:p w:rsidR="00F03B57" w:rsidRPr="00F03B57" w:rsidRDefault="00F03B57" w:rsidP="00F03B57">
      <w:pPr>
        <w:pStyle w:val="ConsPlusNormal"/>
        <w:jc w:val="right"/>
      </w:pPr>
      <w:r w:rsidRPr="00F03B57">
        <w:t>к Приказу ФНС России</w:t>
      </w:r>
    </w:p>
    <w:p w:rsidR="00F03B57" w:rsidRPr="00F03B57" w:rsidRDefault="00F03B57" w:rsidP="00F03B57">
      <w:pPr>
        <w:pStyle w:val="ConsPlusNormal"/>
        <w:jc w:val="right"/>
      </w:pPr>
      <w:r w:rsidRPr="00F03B57">
        <w:t>от 30.05.2007 N ММ-3-06/333@</w:t>
      </w:r>
    </w:p>
    <w:p w:rsidR="00F03B57" w:rsidRPr="00F03B57" w:rsidRDefault="00F03B57" w:rsidP="00F03B57">
      <w:pPr>
        <w:pStyle w:val="ConsPlusNormal"/>
        <w:jc w:val="both"/>
      </w:pPr>
    </w:p>
    <w:p w:rsidR="00F03B57" w:rsidRPr="00F03B57" w:rsidRDefault="00F03B57" w:rsidP="00F03B57">
      <w:pPr>
        <w:pStyle w:val="ConsPlusTitle"/>
        <w:jc w:val="center"/>
        <w:rPr>
          <w:rFonts w:ascii="Arial" w:hAnsi="Arial" w:cs="Arial"/>
          <w:color w:val="2F5496"/>
          <w:sz w:val="20"/>
          <w:szCs w:val="20"/>
        </w:rPr>
      </w:pPr>
      <w:bookmarkStart w:id="0" w:name="_GoBack"/>
      <w:r w:rsidRPr="00F03B57">
        <w:rPr>
          <w:rFonts w:ascii="Arial" w:hAnsi="Arial" w:cs="Arial"/>
          <w:color w:val="2F5496"/>
          <w:sz w:val="20"/>
          <w:szCs w:val="20"/>
        </w:rPr>
        <w:t>ОБЩЕДОСТУПНЫЕ КРИТЕРИИ</w:t>
      </w:r>
    </w:p>
    <w:p w:rsidR="00F03B57" w:rsidRPr="00F03B57" w:rsidRDefault="00F03B57" w:rsidP="00F03B57">
      <w:pPr>
        <w:pStyle w:val="ConsPlusTitle"/>
        <w:jc w:val="center"/>
        <w:rPr>
          <w:rFonts w:ascii="Arial" w:hAnsi="Arial" w:cs="Arial"/>
          <w:color w:val="2F5496"/>
          <w:sz w:val="20"/>
          <w:szCs w:val="20"/>
        </w:rPr>
      </w:pPr>
      <w:r w:rsidRPr="00F03B57">
        <w:rPr>
          <w:rFonts w:ascii="Arial" w:hAnsi="Arial" w:cs="Arial"/>
          <w:color w:val="2F5496"/>
          <w:sz w:val="20"/>
          <w:szCs w:val="20"/>
        </w:rPr>
        <w:t>САМОСТОЯТЕЛЬНОЙ ОЦЕНКИ РИСКОВ ДЛЯ НАЛОГОПЛАТЕЛЬЩИКОВ,</w:t>
      </w:r>
    </w:p>
    <w:p w:rsidR="00F03B57" w:rsidRPr="00F03B57" w:rsidRDefault="00F03B57" w:rsidP="00F03B57">
      <w:pPr>
        <w:pStyle w:val="ConsPlusTitle"/>
        <w:jc w:val="center"/>
        <w:rPr>
          <w:rFonts w:ascii="Arial" w:hAnsi="Arial" w:cs="Arial"/>
          <w:color w:val="2F5496"/>
          <w:sz w:val="20"/>
          <w:szCs w:val="20"/>
        </w:rPr>
      </w:pPr>
      <w:r w:rsidRPr="00F03B57">
        <w:rPr>
          <w:rFonts w:ascii="Arial" w:hAnsi="Arial" w:cs="Arial"/>
          <w:color w:val="2F5496"/>
          <w:sz w:val="20"/>
          <w:szCs w:val="20"/>
        </w:rPr>
        <w:t>ИСПОЛЬЗУЕМЫЕ НАЛОГОВЫМИ ОРГАНАМИ В ПРОЦЕССЕ ОТБОРА ОБЪЕКТОВ</w:t>
      </w:r>
    </w:p>
    <w:p w:rsidR="00F03B57" w:rsidRPr="00F03B57" w:rsidRDefault="00F03B57" w:rsidP="00F03B57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F03B57">
        <w:rPr>
          <w:rFonts w:ascii="Arial" w:hAnsi="Arial" w:cs="Arial"/>
          <w:color w:val="2F5496"/>
          <w:sz w:val="20"/>
          <w:szCs w:val="20"/>
        </w:rPr>
        <w:t>ДЛЯ ПРОВЕДЕНИЯ ВЫЕЗДНЫХ НАЛОГОВЫХ ПРОВЕРОК</w:t>
      </w:r>
    </w:p>
    <w:bookmarkEnd w:id="0"/>
    <w:p w:rsidR="00F03B57" w:rsidRPr="00F03B57" w:rsidRDefault="00F03B57" w:rsidP="00F03B57">
      <w:pPr>
        <w:pStyle w:val="ConsPlusNormal"/>
        <w:spacing w:after="1"/>
      </w:pPr>
    </w:p>
    <w:p w:rsidR="00F03B57" w:rsidRPr="00F03B57" w:rsidRDefault="00F03B57" w:rsidP="00F03B57">
      <w:pPr>
        <w:pStyle w:val="ConsPlusNormal"/>
        <w:jc w:val="both"/>
      </w:pPr>
    </w:p>
    <w:p w:rsidR="00F03B57" w:rsidRPr="00F03B57" w:rsidRDefault="00F03B57" w:rsidP="00F03B57">
      <w:pPr>
        <w:pStyle w:val="ConsPlusNormal"/>
        <w:spacing w:before="280"/>
        <w:ind w:firstLine="540"/>
        <w:jc w:val="both"/>
      </w:pPr>
      <w:r w:rsidRPr="00F03B57">
        <w:t>1. Налоговая нагрузка у данного налогоплательщика ниже ее среднего уровня по хозяйствующим субъектам в конкретной отрасли (виду экономической деятельности).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Расчет налоговой нагрузки, начиная с 2006 года, по основным видам экономической деятельности приведен в </w:t>
      </w:r>
      <w:hyperlink r:id="rId8">
        <w:r w:rsidRPr="00F03B57">
          <w:rPr>
            <w:color w:val="0000FF"/>
          </w:rPr>
          <w:t>приложении N 3</w:t>
        </w:r>
      </w:hyperlink>
      <w:r w:rsidRPr="00F03B57">
        <w:t xml:space="preserve"> к Приказу ФНС России от 30.05.2007 N ММ-3-06/333@.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Налоговая нагрузка рассчитана как соотношение суммы уплаченных налогов по данным отчетности налоговых органов и оборота (выручки) организаций по данным Федеральной службы государственной статистики (Росстата).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2. Отражение в бухгалтерской или налоговой отчетности убытков на протяжении нескольких налоговых периодов.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Осуществление организацией финансово-хозяйственной деятельности с убытком в течение 2-х и более календарных лет.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При получении организацией убытка по результатам финансово-хозяйственной деятельности за 2008 год налоговый орган может не учитывать данный календарный год в числе 2-х лет, когда деятельность осуществлялась с убытком, при условии, что налогоплательщик получил убытки по объективным причинам, о чем у налогового органа имеется соответствующая информация и подтверждающие документы, представленные налогоплательщиком.</w:t>
      </w:r>
    </w:p>
    <w:p w:rsidR="00F03B57" w:rsidRPr="00F03B57" w:rsidRDefault="00F03B57" w:rsidP="00F03B57">
      <w:pPr>
        <w:pStyle w:val="ConsPlusNormal"/>
        <w:jc w:val="both"/>
      </w:pPr>
      <w:r w:rsidRPr="00F03B57">
        <w:t xml:space="preserve">(абзац введен </w:t>
      </w:r>
      <w:hyperlink r:id="rId9">
        <w:r w:rsidRPr="00F03B57">
          <w:rPr>
            <w:color w:val="0000FF"/>
          </w:rPr>
          <w:t>Приказом</w:t>
        </w:r>
      </w:hyperlink>
      <w:r w:rsidRPr="00F03B57">
        <w:t xml:space="preserve"> ФНС России от 22.09.2010 N ММВ-7-2/461@)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3. Отражение в налоговой отчетности значительных сумм налоговых вычетов за определенный период.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Доля вычетов по налогу на добавленную стоимость от суммы начисленного с налоговой базы налога равна либо превышает 89% за период 12 месяцев.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4. Опережающий темп роста расходов над темпом роста доходов от реализации товаров (работ, услуг).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По налогу на прибыль организаций.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Несоответствие темпов роста расходов по сравнению с темпом роста доходов по данным налоговой отчетности с темпами роста расходов по сравнению с темпом роста доходов, отраженными в финансовой отчетности.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5. Выплата среднемесячной заработной платы на одного работника ниже среднего уровня по виду экономической деятельности в субъекте Российской Федерации.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Информацию о статистических показателях среднего уровня заработной платы по виду экономической деятельности в городе, районе или в целом по субъекту Российской Федерации можно получить из следующих источников: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1) Официальные Интернет-сайты территориальных органов Федеральной службы государственной статистики (Росстат).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Информация об адресах Интернет-сайтов территориальных органов Федеральной службы государственной статистики (Росстат) находится на официальном Интернет-сайте Федеральной службы </w:t>
      </w:r>
      <w:r w:rsidRPr="00F03B57">
        <w:lastRenderedPageBreak/>
        <w:t xml:space="preserve">государственной статистики (Росстат) </w:t>
      </w:r>
      <w:hyperlink r:id="rId10">
        <w:proofErr w:type="gramStart"/>
        <w:r w:rsidRPr="00F03B57">
          <w:rPr>
            <w:color w:val="0000FF"/>
          </w:rPr>
          <w:t>www.gks.ru</w:t>
        </w:r>
      </w:hyperlink>
      <w:r w:rsidRPr="00F03B57">
        <w:t>.;</w:t>
      </w:r>
      <w:proofErr w:type="gramEnd"/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2) Сборники экономико-статистических материалов, публикуемые территориальными органами Федеральной службы государственной статистики (Росстат) (статистический сборник, бюллетень и др.);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3) По запросу в территориальный орган Федеральной службы государственной статистики (Росстат) или налоговый орган в соответствующем субъекте Российской Федерации (инспекция, управление ФНС России по субъекту Российской Федерации);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4) Официальные Интернет-сайты управлений ФНС России по субъектам Российской Федерации после размещения на них соответствующих статистических показателей.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Информация об адресах Интернет-сайтов управлений ФНС России по субъектам Российской Федерации находится на официальном Интернет-сайте ФНС России </w:t>
      </w:r>
      <w:hyperlink r:id="rId11">
        <w:r w:rsidRPr="00F03B57">
          <w:rPr>
            <w:color w:val="0000FF"/>
          </w:rPr>
          <w:t>www.nalog.ru</w:t>
        </w:r>
      </w:hyperlink>
      <w:r w:rsidRPr="00F03B57">
        <w:t>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При выборе объектов для проведения выездных налоговых проверок налоговый орган учитывает также информацию, поступающую в ходе рассмотрения жалоб и заявлений граждан, юридических лиц и индивидуальных предпринимателей, правоохранительных и иных контролирующих органов, о выплате налогоплательщиком неучтенной заработной платы ("в конвертах"), </w:t>
      </w:r>
      <w:proofErr w:type="spellStart"/>
      <w:r w:rsidRPr="00F03B57">
        <w:t>неоформлении</w:t>
      </w:r>
      <w:proofErr w:type="spellEnd"/>
      <w:r w:rsidRPr="00F03B57">
        <w:t xml:space="preserve"> (оформлении с нарушением установленного порядка) трудовых отношений и иную аналогичную информацию.</w:t>
      </w:r>
    </w:p>
    <w:p w:rsidR="00F03B57" w:rsidRPr="00F03B57" w:rsidRDefault="00F03B57" w:rsidP="00F03B57">
      <w:pPr>
        <w:pStyle w:val="ConsPlusNormal"/>
        <w:jc w:val="both"/>
      </w:pPr>
      <w:r w:rsidRPr="00F03B57">
        <w:t xml:space="preserve">(абзац введен </w:t>
      </w:r>
      <w:hyperlink r:id="rId12">
        <w:r w:rsidRPr="00F03B57">
          <w:rPr>
            <w:color w:val="0000FF"/>
          </w:rPr>
          <w:t>Приказом</w:t>
        </w:r>
      </w:hyperlink>
      <w:r w:rsidRPr="00F03B57">
        <w:t xml:space="preserve"> ФНС России от 10.05.2012 N ММВ-7-2/297@)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6. Неоднократное приближение к предельному значению установленных Налоговым </w:t>
      </w:r>
      <w:hyperlink r:id="rId13">
        <w:r w:rsidRPr="00F03B57">
          <w:rPr>
            <w:color w:val="0000FF"/>
          </w:rPr>
          <w:t>кодексом</w:t>
        </w:r>
      </w:hyperlink>
      <w:r w:rsidRPr="00F03B57">
        <w:t xml:space="preserve"> Российской Федерации величин показателей, предоставляющих право применять налогоплательщикам специальные налоговые режимы.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В части специальных налоговых режимов принимается во внимание приближение (менее 5%) к предельному значению установленных Налоговым </w:t>
      </w:r>
      <w:hyperlink r:id="rId14">
        <w:r w:rsidRPr="00F03B57">
          <w:rPr>
            <w:color w:val="0000FF"/>
          </w:rPr>
          <w:t>кодексом</w:t>
        </w:r>
      </w:hyperlink>
      <w:r w:rsidRPr="00F03B57">
        <w:t xml:space="preserve"> Российской Федерации величин показателей, влияющих на исчисление налога для налогоплательщиков, применяющих специальные налоговые режимы налогообложения (2 и более раза в течение календарного года).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В части единого сельскохозяйственного налога.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Приближение к предельному значению установленного </w:t>
      </w:r>
      <w:hyperlink r:id="rId15">
        <w:r w:rsidRPr="00F03B57">
          <w:rPr>
            <w:color w:val="0000FF"/>
          </w:rPr>
          <w:t>статьей 346.3</w:t>
        </w:r>
      </w:hyperlink>
      <w:r w:rsidRPr="00F03B57">
        <w:t xml:space="preserve"> Налогового кодекса Российской Федерации показателя, необходимого для применения системы налогообложения для сельскохозяйственных товаропроизводителей: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доля дохода от реализации произведенной сельскохозяйственной продукции, включая продукцию первичной переработки, произведенную из сельскохозяйственного сырья собственного производства, в общем доходе от реализации товаров (работ, услуг), определяемая по итогам налогового периода, составляет не менее 70 процентов.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В части упрощенной системы налогообложения.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Неоднократное приближение к предельным значениям установленных </w:t>
      </w:r>
      <w:hyperlink r:id="rId16">
        <w:r w:rsidRPr="00F03B57">
          <w:rPr>
            <w:color w:val="0000FF"/>
          </w:rPr>
          <w:t>статьями 346.12</w:t>
        </w:r>
      </w:hyperlink>
      <w:r w:rsidRPr="00F03B57">
        <w:t xml:space="preserve"> и </w:t>
      </w:r>
      <w:hyperlink r:id="rId17">
        <w:r w:rsidRPr="00F03B57">
          <w:rPr>
            <w:color w:val="0000FF"/>
          </w:rPr>
          <w:t>346.13</w:t>
        </w:r>
      </w:hyperlink>
      <w:r w:rsidRPr="00F03B57">
        <w:t xml:space="preserve"> Налогового кодекса Российской Федерации показателей, необходимых для применения упрощенной системы налогообложения: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доля участия других организаций составляет не более 25 процентов;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средняя численность работников за налоговый (отчетный) период, определяемая в порядке, устанавливаемом федеральным органом исполнительной власти, уполномоченным в области статистики, составляет не более 100 человек;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остаточная стоимость основных средств и нематериальных активов, определяемая в соответствии с законодательством Российской Федерации о бухгалтерском учете, составляет не более 100 млн. рублей;</w:t>
      </w:r>
    </w:p>
    <w:p w:rsidR="00F03B57" w:rsidRPr="00F03B57" w:rsidRDefault="00F03B57" w:rsidP="00F03B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F03B57" w:rsidRPr="00F03B57" w:rsidTr="008C50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  <w:jc w:val="both"/>
            </w:pPr>
            <w:r w:rsidRPr="00F03B57">
              <w:rPr>
                <w:color w:val="392C69"/>
              </w:rPr>
              <w:t>КонсультантПлюс: примечание.</w:t>
            </w:r>
          </w:p>
          <w:p w:rsidR="00F03B57" w:rsidRPr="00F03B57" w:rsidRDefault="00F03B57" w:rsidP="008C500B">
            <w:pPr>
              <w:pStyle w:val="ConsPlusNormal"/>
              <w:jc w:val="both"/>
            </w:pPr>
            <w:hyperlink r:id="rId18">
              <w:proofErr w:type="spellStart"/>
              <w:r w:rsidRPr="00F03B57">
                <w:rPr>
                  <w:color w:val="0000FF"/>
                </w:rPr>
                <w:t>Абз</w:t>
              </w:r>
              <w:proofErr w:type="spellEnd"/>
              <w:r w:rsidRPr="00F03B57">
                <w:rPr>
                  <w:color w:val="0000FF"/>
                </w:rPr>
                <w:t>. 1 п. 4 ст. 346.13</w:t>
              </w:r>
            </w:hyperlink>
            <w:r w:rsidRPr="00F03B57">
              <w:rPr>
                <w:color w:val="392C69"/>
              </w:rPr>
              <w:t xml:space="preserve"> НК РФ ФЗ от 31.07.2020 </w:t>
            </w:r>
            <w:hyperlink r:id="rId19">
              <w:r w:rsidRPr="00F03B57">
                <w:rPr>
                  <w:color w:val="0000FF"/>
                </w:rPr>
                <w:t>N 266-ФЗ</w:t>
              </w:r>
            </w:hyperlink>
            <w:r w:rsidRPr="00F03B57">
              <w:rPr>
                <w:color w:val="392C69"/>
              </w:rPr>
              <w:t xml:space="preserve">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</w:tr>
    </w:tbl>
    <w:p w:rsidR="00F03B57" w:rsidRPr="00F03B57" w:rsidRDefault="00F03B57" w:rsidP="00F03B57">
      <w:pPr>
        <w:pStyle w:val="ConsPlusNormal"/>
        <w:spacing w:before="280"/>
        <w:ind w:firstLine="540"/>
        <w:jc w:val="both"/>
      </w:pPr>
      <w:r w:rsidRPr="00F03B57">
        <w:t xml:space="preserve">- предельный размер доходов, определяемый по итогам отчетного (налогового) периода в соответствии со </w:t>
      </w:r>
      <w:hyperlink r:id="rId20">
        <w:r w:rsidRPr="00F03B57">
          <w:rPr>
            <w:color w:val="0000FF"/>
          </w:rPr>
          <w:t>статьей 346.15</w:t>
        </w:r>
      </w:hyperlink>
      <w:r w:rsidRPr="00F03B57">
        <w:t xml:space="preserve"> и </w:t>
      </w:r>
      <w:hyperlink r:id="rId21">
        <w:r w:rsidRPr="00F03B57">
          <w:rPr>
            <w:color w:val="0000FF"/>
          </w:rPr>
          <w:t>подпунктами 1</w:t>
        </w:r>
      </w:hyperlink>
      <w:r w:rsidRPr="00F03B57">
        <w:t xml:space="preserve"> и </w:t>
      </w:r>
      <w:hyperlink r:id="rId22">
        <w:r w:rsidRPr="00F03B57">
          <w:rPr>
            <w:color w:val="0000FF"/>
          </w:rPr>
          <w:t>3 пункта 1 статьи 346.25</w:t>
        </w:r>
      </w:hyperlink>
      <w:r w:rsidRPr="00F03B57">
        <w:t xml:space="preserve"> Налогового кодекса Российской Федерации, составляет не более 60 млн. рублей.</w:t>
      </w:r>
    </w:p>
    <w:p w:rsidR="00F03B57" w:rsidRPr="00F03B57" w:rsidRDefault="00F03B57" w:rsidP="00F03B57">
      <w:pPr>
        <w:pStyle w:val="ConsPlusNormal"/>
        <w:jc w:val="both"/>
      </w:pPr>
      <w:r w:rsidRPr="00F03B57">
        <w:lastRenderedPageBreak/>
        <w:t xml:space="preserve">(в ред. </w:t>
      </w:r>
      <w:hyperlink r:id="rId23">
        <w:r w:rsidRPr="00F03B57">
          <w:rPr>
            <w:color w:val="0000FF"/>
          </w:rPr>
          <w:t>Приказа</w:t>
        </w:r>
      </w:hyperlink>
      <w:r w:rsidRPr="00F03B57">
        <w:t xml:space="preserve"> ФНС России от 22.09.2010 N ММВ-7-2/461@)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В части единого налога на вмененный доход.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Неоднократное приближение к предельным значениям установленных </w:t>
      </w:r>
      <w:hyperlink r:id="rId24">
        <w:r w:rsidRPr="00F03B57">
          <w:rPr>
            <w:color w:val="0000FF"/>
          </w:rPr>
          <w:t>статьей 346.26</w:t>
        </w:r>
      </w:hyperlink>
      <w:r w:rsidRPr="00F03B57">
        <w:t xml:space="preserve"> Налогового кодекса Российской Федерации показателей, необходимых для применения системы налогообложения в виде единого налога на вмененный доход: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площадь торгового зала магазина или павильона по каждому объекту организации розничной торговли составляет не более 150 кв. метров;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площадь зала обслуживания посетителей по каждому объекту организации общественного питания, имеющему зал обслуживания посетителей, составляет не более 150 кв. метров;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количество имеющихся на праве собственности или ином праве (пользования, владения и (или) распоряжения) автотранспортных средств, предназначенных для оказания автотранспортных услуг, составляет не более 20 единиц;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общая площадь спальных помещений в каждом объекте, используемом для оказания услуг по временному размещению и проживанию, не более 500 кв. метров.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7. Отражение индивидуальным предпринимателем суммы расхода, максимально приближенной к сумме его дохода, полученного за календарный год.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По налогу на доходы физических лиц.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Доля профессиональных налоговых вычетов, предусмотренных </w:t>
      </w:r>
      <w:hyperlink r:id="rId25">
        <w:r w:rsidRPr="00F03B57">
          <w:rPr>
            <w:color w:val="0000FF"/>
          </w:rPr>
          <w:t>статьей 221</w:t>
        </w:r>
      </w:hyperlink>
      <w:r w:rsidRPr="00F03B57">
        <w:t xml:space="preserve"> Налогового кодекса Российской Федерации, заявленных в налоговых декларациях физических лиц, зарегистрированных в установленном действующим законодательством порядке и осуществляющих предпринимательскую деятельность без образования юридического лица, в общей сумме их доходов превышает 83 процента.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8. Построение финансово-хозяйственной деятельности на основе заключения договоров с контрагентами-перекупщиками или посредниками ("цепочки контрагентов") без наличия разумных экономических или иных причин (деловой цели).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Обстоятельства, свидетельствующие о получении налогоплательщиком необоснованной налоговой выгоды, указанные в </w:t>
      </w:r>
      <w:hyperlink r:id="rId26">
        <w:r w:rsidRPr="00F03B57">
          <w:rPr>
            <w:color w:val="0000FF"/>
          </w:rPr>
          <w:t>Постановлении</w:t>
        </w:r>
      </w:hyperlink>
      <w:r w:rsidRPr="00F03B57">
        <w:t xml:space="preserve"> Пленума Высшего Арбитражного Суда Российской Федерации от 12.10.2006 N 53.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9. Непредставление налогоплательщиком пояснений на уведомление налогового органа о выявлении несоответствия показателей деятельности, и (или) непредставление налоговому органу запрашиваемых документов, и (или) наличие информации об их уничтожении, порче и т.п.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Отсутствие без объективных причин пояснений налогоплательщика относительно выявленных в ходе камеральной налоговой проверки ошибок в налоговой декларации (расчете) и (или) противоречий между сведениями, содержащимися в представленных документах, либо выявленных несоответствий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в случае, если в целях, предусмотренных </w:t>
      </w:r>
      <w:hyperlink r:id="rId27">
        <w:r w:rsidRPr="00F03B57">
          <w:rPr>
            <w:color w:val="0000FF"/>
          </w:rPr>
          <w:t>п. 3 статьи 88</w:t>
        </w:r>
      </w:hyperlink>
      <w:r w:rsidRPr="00F03B57">
        <w:t xml:space="preserve"> Налогового кодекса Российской Федерации, налогоплательщик вызван в налоговый орган на основании письменного </w:t>
      </w:r>
      <w:hyperlink r:id="rId28">
        <w:r w:rsidRPr="00F03B57">
          <w:rPr>
            <w:color w:val="0000FF"/>
          </w:rPr>
          <w:t>Уведомления</w:t>
        </w:r>
      </w:hyperlink>
      <w:r w:rsidRPr="00F03B57">
        <w:t xml:space="preserve"> о вызове налогоплательщика (плательщика сбора, налогового агента), предусмотренного </w:t>
      </w:r>
      <w:hyperlink r:id="rId29">
        <w:r w:rsidRPr="00F03B57">
          <w:rPr>
            <w:color w:val="0000FF"/>
          </w:rPr>
          <w:t>пп. 4 п. 1 статьи 31</w:t>
        </w:r>
      </w:hyperlink>
      <w:r w:rsidRPr="00F03B57">
        <w:t xml:space="preserve"> Налогового кодекса Российской Федерации, содержащего требование представить в течение пяти дней необходимые пояснения или внести соответствующие исправления в установленный срок.</w:t>
      </w:r>
    </w:p>
    <w:p w:rsidR="00F03B57" w:rsidRPr="00F03B57" w:rsidRDefault="00F03B57" w:rsidP="00F03B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F03B57" w:rsidRPr="00F03B57" w:rsidTr="008C50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  <w:jc w:val="both"/>
            </w:pPr>
            <w:r w:rsidRPr="00F03B57">
              <w:rPr>
                <w:color w:val="392C69"/>
              </w:rPr>
              <w:t>КонсультантПлюс: примечание.</w:t>
            </w:r>
          </w:p>
          <w:p w:rsidR="00F03B57" w:rsidRPr="00F03B57" w:rsidRDefault="00F03B57" w:rsidP="008C500B">
            <w:pPr>
              <w:pStyle w:val="ConsPlusNormal"/>
              <w:jc w:val="both"/>
            </w:pPr>
            <w:r w:rsidRPr="00F03B57">
              <w:rPr>
                <w:color w:val="392C69"/>
              </w:rPr>
              <w:t xml:space="preserve">Федеральный закон от 21.11.1996 N 129-ФЗ утратил силу с </w:t>
            </w:r>
            <w:hyperlink r:id="rId30">
              <w:r w:rsidRPr="00F03B57">
                <w:rPr>
                  <w:color w:val="0000FF"/>
                </w:rPr>
                <w:t>1 января 2013 года</w:t>
              </w:r>
            </w:hyperlink>
            <w:r w:rsidRPr="00F03B57">
              <w:rPr>
                <w:color w:val="392C69"/>
              </w:rPr>
              <w:t xml:space="preserve"> в связи с принятием Федерального </w:t>
            </w:r>
            <w:hyperlink r:id="rId31">
              <w:r w:rsidRPr="00F03B57">
                <w:rPr>
                  <w:color w:val="0000FF"/>
                </w:rPr>
                <w:t>закона</w:t>
              </w:r>
            </w:hyperlink>
            <w:r w:rsidRPr="00F03B57">
              <w:rPr>
                <w:color w:val="392C69"/>
              </w:rPr>
              <w:t xml:space="preserve"> от 06.12.2011 N 402-ФЗ "О бухгалтерском учете". О порядке хранения документов бухгалтерского учета см. </w:t>
            </w:r>
            <w:hyperlink r:id="rId32">
              <w:r w:rsidRPr="00F03B57">
                <w:rPr>
                  <w:color w:val="0000FF"/>
                </w:rPr>
                <w:t>статью 29</w:t>
              </w:r>
            </w:hyperlink>
            <w:r w:rsidRPr="00F03B57">
              <w:rPr>
                <w:color w:val="392C69"/>
              </w:rPr>
              <w:t xml:space="preserve"> нового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</w:tr>
    </w:tbl>
    <w:p w:rsidR="00F03B57" w:rsidRPr="00F03B57" w:rsidRDefault="00F03B57" w:rsidP="00F03B57">
      <w:pPr>
        <w:pStyle w:val="ConsPlusNormal"/>
        <w:spacing w:before="280"/>
        <w:ind w:firstLine="540"/>
        <w:jc w:val="both"/>
      </w:pPr>
      <w:r w:rsidRPr="00F03B57">
        <w:t xml:space="preserve">Необеспечение в нарушение </w:t>
      </w:r>
      <w:hyperlink r:id="rId33">
        <w:r w:rsidRPr="00F03B57">
          <w:rPr>
            <w:color w:val="0000FF"/>
          </w:rPr>
          <w:t>пп. 8 п. 1 статьи 23</w:t>
        </w:r>
      </w:hyperlink>
      <w:r w:rsidRPr="00F03B57">
        <w:t xml:space="preserve"> Налогового кодекса Российской Федерации, </w:t>
      </w:r>
      <w:hyperlink r:id="rId34">
        <w:r w:rsidRPr="00F03B57">
          <w:rPr>
            <w:color w:val="0000FF"/>
          </w:rPr>
          <w:t>п. 1 статьи 17</w:t>
        </w:r>
      </w:hyperlink>
      <w:r w:rsidRPr="00F03B57">
        <w:t xml:space="preserve"> Федерального закона от 21.11.1996 N 129-ФЗ "О бухгалтерском учете" (с учетом изменений и дополнений) сохранности данных бухгалтерского и налогового учета и других документов, необходимых для исчисления и уплаты налогов, в том числе документов, подтверждающих получение доходов, осуществление расходов </w:t>
      </w:r>
      <w:r w:rsidRPr="00F03B57">
        <w:lastRenderedPageBreak/>
        <w:t>(для организаций и индивидуальных предпринимателей), и уплату (удержание) налогов, а также их восстановления в случае утраты в результате форс-мажорных обстоятельств (пожар, затопление, наводнение, порча и пр.).</w:t>
      </w:r>
    </w:p>
    <w:p w:rsidR="00F03B57" w:rsidRPr="00F03B57" w:rsidRDefault="00F03B57" w:rsidP="00F03B57">
      <w:pPr>
        <w:pStyle w:val="ConsPlusNormal"/>
        <w:jc w:val="both"/>
      </w:pPr>
      <w:r w:rsidRPr="00F03B57">
        <w:t xml:space="preserve">(п. 9 в ред. </w:t>
      </w:r>
      <w:hyperlink r:id="rId35">
        <w:r w:rsidRPr="00F03B57">
          <w:rPr>
            <w:color w:val="0000FF"/>
          </w:rPr>
          <w:t>Приказа</w:t>
        </w:r>
      </w:hyperlink>
      <w:r w:rsidRPr="00F03B57">
        <w:t xml:space="preserve"> ФНС России от 10.05.2012 N ММВ-7-2/297@)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10. Неоднократное снятие с учета и постановка на учет в налоговых органах налогоплательщика в связи с изменением места нахождения ("миграция" между налоговыми органами).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Два и более случая с момента государственной регистрации юридического лица, представления при проведении выездной налоговой проверки в регистрирующий орган Заявления о государственной регистрации изменений, вносимых в учредительные документы юридического лица в части внесения изменений в сведения об адресе (месте нахождения) юридического лица, если указанные изменения влекут необходимость изменения места постановки на учет по месту нахождения данного налогоплательщика-организации.</w:t>
      </w:r>
    </w:p>
    <w:p w:rsidR="00F03B57" w:rsidRPr="00F03B57" w:rsidRDefault="00F03B57" w:rsidP="00F03B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F03B57" w:rsidRPr="00F03B57" w:rsidTr="008C50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  <w:jc w:val="both"/>
            </w:pPr>
            <w:r w:rsidRPr="00F03B57">
              <w:rPr>
                <w:color w:val="392C69"/>
              </w:rPr>
              <w:t>Значение общедоступных Критериев самостоятельной оценки рисков для налогоплательщиков N 11 может использоваться налоговыми органами при планировании выездных налоговых проверок как на предстоящий, так и последующие годы до их очередной актуализации (</w:t>
            </w:r>
            <w:hyperlink r:id="rId36">
              <w:r w:rsidRPr="00F03B57">
                <w:rPr>
                  <w:color w:val="0000FF"/>
                </w:rPr>
                <w:t>Приказ</w:t>
              </w:r>
            </w:hyperlink>
            <w:r w:rsidRPr="00F03B57">
              <w:rPr>
                <w:color w:val="392C69"/>
              </w:rPr>
              <w:t xml:space="preserve"> ФНС России от 22.09.2010 N ММВ-7-2/461@).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B57" w:rsidRPr="00F03B57" w:rsidRDefault="00F03B57" w:rsidP="008C500B">
            <w:pPr>
              <w:pStyle w:val="ConsPlusNormal"/>
            </w:pPr>
          </w:p>
        </w:tc>
      </w:tr>
    </w:tbl>
    <w:p w:rsidR="00F03B57" w:rsidRPr="00F03B57" w:rsidRDefault="00F03B57" w:rsidP="00F03B57">
      <w:pPr>
        <w:pStyle w:val="ConsPlusNormal"/>
        <w:spacing w:before="280"/>
        <w:ind w:firstLine="540"/>
        <w:jc w:val="both"/>
      </w:pPr>
      <w:r w:rsidRPr="00F03B57">
        <w:t>11.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Расчет рентабельности продаж и активов, начиная с 2006 года, по основным видам экономической деятельности приведен в </w:t>
      </w:r>
      <w:hyperlink r:id="rId37">
        <w:r w:rsidRPr="00F03B57">
          <w:rPr>
            <w:color w:val="0000FF"/>
          </w:rPr>
          <w:t>приложении N 4</w:t>
        </w:r>
      </w:hyperlink>
      <w:r w:rsidRPr="00F03B57">
        <w:t xml:space="preserve"> к Приказу ФНС России от 30.05.2007 N ММ-3-06/333@.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В части налога на прибыль организаций: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Отклонение (в сторону уменьшения) рентабельности по данным бухгалтерского учета налогоплательщика от среднеотраслевого показателя рентабельности по аналогичному виду деятельности по данным статистики на 10% и более.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bookmarkStart w:id="1" w:name="P74"/>
      <w:bookmarkEnd w:id="1"/>
      <w:r w:rsidRPr="00F03B57">
        <w:t>12. Ведение финансово-хозяйственной деятельности с высоким налоговым риском.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ФНС России по результатам контрольной работы, с учетом досудебного урегулирования споров с налогоплательщиками и сложившейся арбитражной практики, определяет наиболее распространенные способы ведения финансово-хозяйственной деятельности с высоким налоговым риском, направленные на получение необоснованной налоговой выгоды.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Информация о способах ведения финансово-хозяйственной деятельности с высоким налоговым риском размещается на официальном сайте ФНС России </w:t>
      </w:r>
      <w:hyperlink r:id="rId38">
        <w:r w:rsidRPr="00F03B57">
          <w:rPr>
            <w:color w:val="0000FF"/>
          </w:rPr>
          <w:t>www.nalog.ru</w:t>
        </w:r>
      </w:hyperlink>
      <w:r w:rsidRPr="00F03B57">
        <w:t xml:space="preserve"> в разделе "Общедоступные критерии самостоятельной оценки рисков".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При оценке налоговых рисков, которые могут быть связаны с характером взаимоотношений с некоторыми контрагентами, налогоплательщику рекомендуется исследовать следующие признаки: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отсутствие личных контактов руководства (уполномоченных должностных лиц) компании-поставщика и руководства (уполномоченных должностных лиц) компании-покупателя при обсуждении условий поставок, а также при подписании договоров;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отсутствие документального подтверждения полномочий руководителя компании-контрагента, копий документа, удостоверяющего его личность;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отсутствие документального подтверждения полномочий представителя контрагента, копий документа, удостоверяющего его личность;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отсутствие информации о фактическом местонахождении контрагента, а также о местонахождении складских и/или производственных и/или торговых площадей;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- отсутствие информации о способе получения сведений о контрагенте (нет рекламы в СМИ, нет рекомендаций партнеров или других лиц, нет сайта контрагента и т.п.). При этом негативность данного признака усугубляется наличием доступной информации (например, в СМИ, наружная реклама, Интернет-сайты и т.д.) о других участниках рынка (в том числе производителях) идентичных (аналогичных) товаров </w:t>
      </w:r>
      <w:r w:rsidRPr="00F03B57">
        <w:lastRenderedPageBreak/>
        <w:t>(работ, услуг), в том числе предлагающих свои товары (работы, услуги) по более низким ценам;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- отсутствие информации о государственной регистрации контрагента в ЕГРЮЛ (общий доступ, официальный сайт ФНС России </w:t>
      </w:r>
      <w:hyperlink r:id="rId39">
        <w:r w:rsidRPr="00F03B57">
          <w:rPr>
            <w:color w:val="0000FF"/>
          </w:rPr>
          <w:t>www.nalog.ru</w:t>
        </w:r>
      </w:hyperlink>
      <w:r w:rsidRPr="00F03B57">
        <w:t>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Наличие подобных признаков свидетельствует о высокой степени риска квалификации подобного контрагента налоговыми органами как проблемного (или "однодневки"), а сделки, совершенные с таким контрагентом, сомнительными.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Дополнительно повышают такие риски одновременное присутствие следующих обстоятельств: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контрагент, имеющий вышеуказанные признаки, выступает в роли посредника;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наличие в договорах условий, отличающихся от существующих правил (обычаев) делового оборота (например, длительные отсрочки платежа, поставка крупных партий товаров без предоплаты или гарантии оплаты, несопоставимые с последствиями нарушения сторонами договоров штрафными санкциями, расчеты через третьих лиц, расчеты векселями и т.п.);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отсутствие очевидных свидетельств (например, копий документов, подтверждающих наличие у контрагента производственных мощностей, необходимых лицензий, квалифицированных кадров, имущества и т.п.) возможности реального выполнения контрагентом условий договора, а также наличие обоснованных сомнений в возможности реального выполнения контрагентом условий договора с учетом времени, необходимого на доставку или производство товара, выполнение работ или оказание услуг;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приобретение через посредников товаров, производство и заготовление которых традиционно производится физическими лицами, не являющимися предпринимателями (сельхозпродукция, вторичное сырье (включая металлолом), продукция промысла и т.п.);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отсутствие реальных действий плательщика (или его контрагента) по взысканию задолженности. Рост задолженности плательщика (или его контрагента) на фоне продолжения поставки в адрес должника крупных партий товаров или существенных объемов работ (услуг);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выпуск, покупка/продажа контрагентами векселей, ликвидность которых не очевидна или не исследована, а также выдача/получение займов без обеспечения. При этом негативность данного признака усугубляет отсутствие условий о процентах по долговым обязательствам любого вида, а также сроки погашения указанных долговых обязательств больше трех лет;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существенная доля расходов по сделке с "проблемными" контрагентами в общей сумме затрат налогоплательщика, при этом отсутствие экономического обоснования целесообразности такой сделки при одновременном отсутствии положительного экономического эффекта от ее осуществления и т.п.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Соответственно, чем больше вышеперечисленных признаков одновременно присутствуют во взаимоотношениях налогоплательщика с контрагентами, тем выше степень его налоговых рисков.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Налогоплательщикам, </w:t>
      </w:r>
      <w:proofErr w:type="gramStart"/>
      <w:r w:rsidRPr="00F03B57">
        <w:t>по самостоятельной оценке</w:t>
      </w:r>
      <w:proofErr w:type="gramEnd"/>
      <w:r w:rsidRPr="00F03B57">
        <w:t xml:space="preserve"> которых риски по настоящему </w:t>
      </w:r>
      <w:hyperlink w:anchor="P74">
        <w:r w:rsidRPr="00F03B57">
          <w:rPr>
            <w:color w:val="0000FF"/>
          </w:rPr>
          <w:t>пункту</w:t>
        </w:r>
      </w:hyperlink>
      <w:r w:rsidRPr="00F03B57">
        <w:t xml:space="preserve"> Критериев высоки, и желающим снизить или полностью исключить указанные риски, рекомендуется: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исключить сомнительные операции при расчете налоговых обязательств за соответствующий период;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>- уведомить налоговые органы о мерах, предпринятых ими для снижения данных рисков (уточнении налоговых обязательств), для возможности своевременного учета откорректированных налоговых обязательств данных налогоплательщиков при отборе объектов для проведения выездных налоговых проверок.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Уведомление производится путем подачи в налоговый орган, по месту нахождения организации (или по месту учета в качестве крупнейшего налогоплательщика), </w:t>
      </w:r>
      <w:hyperlink r:id="rId40">
        <w:r w:rsidRPr="00F03B57">
          <w:rPr>
            <w:color w:val="0000FF"/>
          </w:rPr>
          <w:t>уточненных налоговых деклараций</w:t>
        </w:r>
      </w:hyperlink>
      <w:r w:rsidRPr="00F03B57">
        <w:t xml:space="preserve"> по налогам за те периоды, в которых осуществлялась деятельность с высоким налоговым риском.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Для идентификации цели подачи данной уточненной декларации (снижение/исключение рисков по </w:t>
      </w:r>
      <w:hyperlink w:anchor="P74">
        <w:r w:rsidRPr="00F03B57">
          <w:rPr>
            <w:color w:val="0000FF"/>
          </w:rPr>
          <w:t>пункту 12</w:t>
        </w:r>
      </w:hyperlink>
      <w:r w:rsidRPr="00F03B57">
        <w:t xml:space="preserve"> Критериев) налогоплательщикам предлагается одновременно с уточненной декларацией представлять Пояснительную записку по форме, рекомендуемой ФНС России (</w:t>
      </w:r>
      <w:hyperlink r:id="rId41">
        <w:r w:rsidRPr="00F03B57">
          <w:rPr>
            <w:color w:val="0000FF"/>
          </w:rPr>
          <w:t>приложение N 5</w:t>
        </w:r>
      </w:hyperlink>
      <w:r w:rsidRPr="00F03B57">
        <w:t xml:space="preserve"> к Приказу от 30.05.2007 N ММ-3-06/333@) (далее - Пояснительная записка).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В аналогичном порядке налогоплательщик может задекларировать уточненные налоговые </w:t>
      </w:r>
      <w:r w:rsidRPr="00F03B57">
        <w:lastRenderedPageBreak/>
        <w:t>обязательства, возникшие в результате принятия мер по снижению налоговых рисков при осуществлении финансово-хозяйственной деятельности с применением способов, направленных на получение необоснованной налоговой выгоды, но не представленных на сайте.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Налоговый орган, получивший уточненные налоговые декларации, а также представленную вместе с ними Пояснительную записку, проводит камеральную налоговую проверку в соответствии со </w:t>
      </w:r>
      <w:hyperlink r:id="rId42">
        <w:r w:rsidRPr="00F03B57">
          <w:rPr>
            <w:color w:val="0000FF"/>
          </w:rPr>
          <w:t>ст. 88</w:t>
        </w:r>
      </w:hyperlink>
      <w:r w:rsidRPr="00F03B57">
        <w:t xml:space="preserve"> Налогового кодекса Российской Федерации. При проведении камеральных налоговых проверок указанных уточненных деклараций с представленной к ним Пояснительной запиской дополнительные документы у налогоплательщика не </w:t>
      </w:r>
      <w:proofErr w:type="spellStart"/>
      <w:r w:rsidRPr="00F03B57">
        <w:t>истребуются</w:t>
      </w:r>
      <w:proofErr w:type="spellEnd"/>
      <w:r w:rsidRPr="00F03B57">
        <w:t>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Факт подачи налогоплательщиком уточненной декларации с целью снижения (исключения) рисков по </w:t>
      </w:r>
      <w:hyperlink w:anchor="P74">
        <w:r w:rsidRPr="00F03B57">
          <w:rPr>
            <w:color w:val="0000FF"/>
          </w:rPr>
          <w:t>пункту 12</w:t>
        </w:r>
      </w:hyperlink>
      <w:r w:rsidRPr="00F03B57">
        <w:t xml:space="preserve"> Критериев налоговые органы учитывают в процессе отбора объектов для проведения выездных налоговых проверок (или корректировки уже утвержденных планов выездных налоговых проверок) в сочетании с другими Критериями.</w:t>
      </w:r>
    </w:p>
    <w:p w:rsidR="00F03B57" w:rsidRPr="00F03B57" w:rsidRDefault="00F03B57" w:rsidP="00F03B57">
      <w:pPr>
        <w:pStyle w:val="ConsPlusNormal"/>
        <w:spacing w:before="220"/>
        <w:ind w:firstLine="540"/>
        <w:jc w:val="both"/>
      </w:pPr>
      <w:r w:rsidRPr="00F03B57">
        <w:t xml:space="preserve">В случае наличия у налогового органа информации о ведении деятельности с признаками нарушений налогового законодательства, в отношении налогоплательщика, заявившего о мерах, предпринятых им для снижения рисков по </w:t>
      </w:r>
      <w:hyperlink w:anchor="P74">
        <w:r w:rsidRPr="00F03B57">
          <w:rPr>
            <w:color w:val="0000FF"/>
          </w:rPr>
          <w:t>пункту 12</w:t>
        </w:r>
      </w:hyperlink>
      <w:r w:rsidRPr="00F03B57">
        <w:t xml:space="preserve"> Критериев, решение о назначении выездной налоговой проверки принимается только после предварительного согласования с ФНС России.</w:t>
      </w:r>
    </w:p>
    <w:p w:rsidR="00F03B57" w:rsidRPr="00F03B57" w:rsidRDefault="00F03B57" w:rsidP="00F03B57">
      <w:pPr>
        <w:rPr>
          <w:rFonts w:ascii="Arial" w:hAnsi="Arial" w:cs="Arial"/>
          <w:sz w:val="20"/>
          <w:szCs w:val="20"/>
        </w:rPr>
      </w:pPr>
    </w:p>
    <w:p w:rsidR="00D43F17" w:rsidRPr="00F03B57" w:rsidRDefault="00D43F17" w:rsidP="00CC3927">
      <w:pPr>
        <w:rPr>
          <w:rFonts w:ascii="Arial" w:hAnsi="Arial" w:cs="Arial"/>
          <w:sz w:val="20"/>
          <w:szCs w:val="20"/>
        </w:rPr>
      </w:pPr>
    </w:p>
    <w:sectPr w:rsidR="00D43F17" w:rsidRPr="00F03B57" w:rsidSect="0033263D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13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C8" w:rsidRDefault="009A41C8" w:rsidP="00704AA4">
      <w:r>
        <w:separator/>
      </w:r>
    </w:p>
  </w:endnote>
  <w:endnote w:type="continuationSeparator" w:id="0">
    <w:p w:rsidR="009A41C8" w:rsidRDefault="009A41C8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F03B57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F03B57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15pt;height:30.4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F03B57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F03B57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7.15pt;height:30.4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C8" w:rsidRDefault="009A41C8" w:rsidP="00704AA4">
      <w:r>
        <w:separator/>
      </w:r>
    </w:p>
  </w:footnote>
  <w:footnote w:type="continuationSeparator" w:id="0">
    <w:p w:rsidR="009A41C8" w:rsidRDefault="009A41C8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C8" w:rsidRDefault="009A41C8" w:rsidP="00EE3F99">
    <w:pPr>
      <w:pStyle w:val="af0"/>
      <w:tabs>
        <w:tab w:val="clear" w:pos="9355"/>
        <w:tab w:val="right" w:pos="9639"/>
      </w:tabs>
    </w:pPr>
  </w:p>
  <w:p w:rsidR="009A41C8" w:rsidRPr="00704AA4" w:rsidRDefault="009A41C8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9A41C8" w:rsidRPr="00704AA4" w:rsidTr="006D28A7">
      <w:tc>
        <w:tcPr>
          <w:tcW w:w="4390" w:type="dxa"/>
          <w:shd w:val="clear" w:color="auto" w:fill="auto"/>
        </w:tcPr>
        <w:p w:rsidR="009A41C8" w:rsidRPr="00704AA4" w:rsidRDefault="00F03B57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9pt;height:36.9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9A41C8" w:rsidRPr="006D28A7" w:rsidRDefault="009A41C8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9A41C8" w:rsidRPr="006D28A7" w:rsidRDefault="00F03B57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9A41C8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9A41C8" w:rsidRPr="00704AA4" w:rsidRDefault="009A41C8" w:rsidP="00D6731D">
          <w:pPr>
            <w:pStyle w:val="af0"/>
          </w:pPr>
        </w:p>
      </w:tc>
    </w:tr>
  </w:tbl>
  <w:p w:rsidR="009A41C8" w:rsidRDefault="00F03B57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2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8"/>
  </w:num>
  <w:num w:numId="5">
    <w:abstractNumId w:val="29"/>
  </w:num>
  <w:num w:numId="6">
    <w:abstractNumId w:val="17"/>
  </w:num>
  <w:num w:numId="7">
    <w:abstractNumId w:val="16"/>
  </w:num>
  <w:num w:numId="8">
    <w:abstractNumId w:val="4"/>
  </w:num>
  <w:num w:numId="9">
    <w:abstractNumId w:val="21"/>
  </w:num>
  <w:num w:numId="10">
    <w:abstractNumId w:val="2"/>
  </w:num>
  <w:num w:numId="11">
    <w:abstractNumId w:val="31"/>
  </w:num>
  <w:num w:numId="12">
    <w:abstractNumId w:val="0"/>
  </w:num>
  <w:num w:numId="13">
    <w:abstractNumId w:val="32"/>
  </w:num>
  <w:num w:numId="14">
    <w:abstractNumId w:val="28"/>
  </w:num>
  <w:num w:numId="15">
    <w:abstractNumId w:val="12"/>
  </w:num>
  <w:num w:numId="16">
    <w:abstractNumId w:val="1"/>
  </w:num>
  <w:num w:numId="17">
    <w:abstractNumId w:val="20"/>
  </w:num>
  <w:num w:numId="18">
    <w:abstractNumId w:val="25"/>
  </w:num>
  <w:num w:numId="19">
    <w:abstractNumId w:val="9"/>
  </w:num>
  <w:num w:numId="20">
    <w:abstractNumId w:val="24"/>
  </w:num>
  <w:num w:numId="21">
    <w:abstractNumId w:val="6"/>
  </w:num>
  <w:num w:numId="22">
    <w:abstractNumId w:val="19"/>
  </w:num>
  <w:num w:numId="23">
    <w:abstractNumId w:val="11"/>
  </w:num>
  <w:num w:numId="24">
    <w:abstractNumId w:val="30"/>
  </w:num>
  <w:num w:numId="25">
    <w:abstractNumId w:val="22"/>
  </w:num>
  <w:num w:numId="26">
    <w:abstractNumId w:val="26"/>
  </w:num>
  <w:num w:numId="27">
    <w:abstractNumId w:val="18"/>
  </w:num>
  <w:num w:numId="28">
    <w:abstractNumId w:val="14"/>
  </w:num>
  <w:num w:numId="29">
    <w:abstractNumId w:val="5"/>
  </w:num>
  <w:num w:numId="30">
    <w:abstractNumId w:val="7"/>
  </w:num>
  <w:num w:numId="31">
    <w:abstractNumId w:val="15"/>
  </w:num>
  <w:num w:numId="32">
    <w:abstractNumId w:val="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4740C"/>
    <w:rsid w:val="0046038E"/>
    <w:rsid w:val="00476A46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03B57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532&amp;dst=103514" TargetMode="External"/><Relationship Id="rId18" Type="http://schemas.openxmlformats.org/officeDocument/2006/relationships/hyperlink" Target="https://login.consultant.ru/link/?req=doc&amp;base=LAW&amp;n=475532&amp;dst=18909" TargetMode="External"/><Relationship Id="rId26" Type="http://schemas.openxmlformats.org/officeDocument/2006/relationships/hyperlink" Target="https://login.consultant.ru/link/?req=doc&amp;base=LAW&amp;n=63894" TargetMode="External"/><Relationship Id="rId39" Type="http://schemas.openxmlformats.org/officeDocument/2006/relationships/hyperlink" Target="file:///\\usoft.ru\root\Public\System\Users\Sushok_EU\&#1056;&#1072;&#1073;&#1086;&#1095;&#1080;&#1081;%20&#1089;&#1090;&#1086;&#1083;\&#1047;&#1072;&#1093;&#1086;&#1076;&#1099;\www.nalog.ru" TargetMode="External"/><Relationship Id="rId21" Type="http://schemas.openxmlformats.org/officeDocument/2006/relationships/hyperlink" Target="https://login.consultant.ru/link/?req=doc&amp;base=LAW&amp;n=475532&amp;dst=1708" TargetMode="External"/><Relationship Id="rId34" Type="http://schemas.openxmlformats.org/officeDocument/2006/relationships/hyperlink" Target="https://login.consultant.ru/link/?req=doc&amp;base=LAW&amp;n=122227&amp;dst=100158" TargetMode="External"/><Relationship Id="rId42" Type="http://schemas.openxmlformats.org/officeDocument/2006/relationships/hyperlink" Target="https://login.consultant.ru/link/?req=doc&amp;base=LAW&amp;n=483130&amp;dst=65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532&amp;dst=1618" TargetMode="External"/><Relationship Id="rId29" Type="http://schemas.openxmlformats.org/officeDocument/2006/relationships/hyperlink" Target="https://login.consultant.ru/link/?req=doc&amp;base=LAW&amp;n=483130&amp;dst=2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usoft.ru\root\Public\System\Users\Sushok_EU\&#1056;&#1072;&#1073;&#1086;&#1095;&#1080;&#1081;%20&#1089;&#1090;&#1086;&#1083;\&#1047;&#1072;&#1093;&#1086;&#1076;&#1099;\www.nalog.ru" TargetMode="External"/><Relationship Id="rId24" Type="http://schemas.openxmlformats.org/officeDocument/2006/relationships/hyperlink" Target="https://login.consultant.ru/link/?req=doc&amp;base=LAW&amp;n=475532&amp;dst=1607" TargetMode="External"/><Relationship Id="rId32" Type="http://schemas.openxmlformats.org/officeDocument/2006/relationships/hyperlink" Target="https://login.consultant.ru/link/?req=doc&amp;base=LAW&amp;n=464181&amp;dst=100289" TargetMode="External"/><Relationship Id="rId37" Type="http://schemas.openxmlformats.org/officeDocument/2006/relationships/hyperlink" Target="https://login.consultant.ru/link/?req=doc&amp;base=LAW&amp;n=129610&amp;dst=100580" TargetMode="External"/><Relationship Id="rId40" Type="http://schemas.openxmlformats.org/officeDocument/2006/relationships/hyperlink" Target="https://login.consultant.ru/link/?req=doc&amp;base=LAW&amp;n=483130&amp;dst=596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532&amp;dst=3321" TargetMode="External"/><Relationship Id="rId23" Type="http://schemas.openxmlformats.org/officeDocument/2006/relationships/hyperlink" Target="https://login.consultant.ru/link/?req=doc&amp;base=LAW&amp;n=105111&amp;dst=100026" TargetMode="External"/><Relationship Id="rId28" Type="http://schemas.openxmlformats.org/officeDocument/2006/relationships/hyperlink" Target="https://login.consultant.ru/link/?req=doc&amp;base=LAW&amp;n=439113&amp;dst=100100" TargetMode="External"/><Relationship Id="rId36" Type="http://schemas.openxmlformats.org/officeDocument/2006/relationships/hyperlink" Target="https://login.consultant.ru/link/?req=doc&amp;base=LAW&amp;n=105111&amp;dst=100018" TargetMode="External"/><Relationship Id="rId10" Type="http://schemas.openxmlformats.org/officeDocument/2006/relationships/hyperlink" Target="file:///\\usoft.ru\root\Public\System\Users\Sushok_EU\&#1056;&#1072;&#1073;&#1086;&#1095;&#1080;&#1081;%20&#1089;&#1090;&#1086;&#1083;\&#1047;&#1072;&#1093;&#1086;&#1076;&#1099;\www.gks.ru" TargetMode="External"/><Relationship Id="rId19" Type="http://schemas.openxmlformats.org/officeDocument/2006/relationships/hyperlink" Target="https://login.consultant.ru/link/?req=doc&amp;base=LAW&amp;n=358747&amp;dst=100013" TargetMode="External"/><Relationship Id="rId31" Type="http://schemas.openxmlformats.org/officeDocument/2006/relationships/hyperlink" Target="https://login.consultant.ru/link/?req=doc&amp;base=LAW&amp;n=464181&amp;dst=100299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05111&amp;dst=100024" TargetMode="External"/><Relationship Id="rId14" Type="http://schemas.openxmlformats.org/officeDocument/2006/relationships/hyperlink" Target="https://login.consultant.ru/link/?req=doc&amp;base=LAW&amp;n=475532&amp;dst=103514" TargetMode="External"/><Relationship Id="rId22" Type="http://schemas.openxmlformats.org/officeDocument/2006/relationships/hyperlink" Target="https://login.consultant.ru/link/?req=doc&amp;base=LAW&amp;n=475532&amp;dst=1710" TargetMode="External"/><Relationship Id="rId27" Type="http://schemas.openxmlformats.org/officeDocument/2006/relationships/hyperlink" Target="https://login.consultant.ru/link/?req=doc&amp;base=LAW&amp;n=483130&amp;dst=661" TargetMode="External"/><Relationship Id="rId30" Type="http://schemas.openxmlformats.org/officeDocument/2006/relationships/hyperlink" Target="https://login.consultant.ru/link/?req=doc&amp;base=LAW&amp;n=464181&amp;dst=100312" TargetMode="External"/><Relationship Id="rId35" Type="http://schemas.openxmlformats.org/officeDocument/2006/relationships/hyperlink" Target="https://login.consultant.ru/link/?req=doc&amp;base=LAW&amp;n=129600&amp;dst=100025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29610&amp;dst=10053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129600&amp;dst=100023" TargetMode="External"/><Relationship Id="rId17" Type="http://schemas.openxmlformats.org/officeDocument/2006/relationships/hyperlink" Target="https://login.consultant.ru/link/?req=doc&amp;base=LAW&amp;n=475532&amp;dst=3344" TargetMode="External"/><Relationship Id="rId25" Type="http://schemas.openxmlformats.org/officeDocument/2006/relationships/hyperlink" Target="https://login.consultant.ru/link/?req=doc&amp;base=LAW&amp;n=475532&amp;dst=101375" TargetMode="External"/><Relationship Id="rId33" Type="http://schemas.openxmlformats.org/officeDocument/2006/relationships/hyperlink" Target="https://login.consultant.ru/link/?req=doc&amp;base=LAW&amp;n=483130&amp;dst=247" TargetMode="External"/><Relationship Id="rId38" Type="http://schemas.openxmlformats.org/officeDocument/2006/relationships/hyperlink" Target="file:///\\usoft.ru\root\Public\System\Users\Sushok_EU\&#1056;&#1072;&#1073;&#1086;&#1095;&#1080;&#1081;%20&#1089;&#1090;&#1086;&#1083;\&#1047;&#1072;&#1093;&#1086;&#1076;&#1099;\www.nalog.ru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75532&amp;dst=103619" TargetMode="External"/><Relationship Id="rId41" Type="http://schemas.openxmlformats.org/officeDocument/2006/relationships/hyperlink" Target="https://login.consultant.ru/link/?req=doc&amp;base=LAW&amp;n=129610&amp;dst=1002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D39C-4D46-40C9-BCBC-730FCCF2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C81105A1</Template>
  <TotalTime>1</TotalTime>
  <Pages>6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2025-05-15T11:57:00Z</dcterms:created>
  <dcterms:modified xsi:type="dcterms:W3CDTF">2025-05-15T11:57:00Z</dcterms:modified>
</cp:coreProperties>
</file>