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FA" w:rsidRPr="002E31FA" w:rsidRDefault="002E31FA" w:rsidP="002E31FA">
      <w:pPr>
        <w:widowControl w:val="0"/>
        <w:shd w:val="clear" w:color="auto" w:fill="FFFFFF"/>
        <w:spacing w:before="120" w:after="120"/>
        <w:jc w:val="center"/>
        <w:textAlignment w:val="top"/>
        <w:rPr>
          <w:rFonts w:ascii="Arial" w:hAnsi="Arial" w:cs="Arial"/>
          <w:b/>
          <w:bCs/>
          <w:color w:val="2F5496"/>
          <w:sz w:val="32"/>
          <w:szCs w:val="32"/>
        </w:rPr>
      </w:pPr>
      <w:bookmarkStart w:id="0" w:name="_GoBack"/>
      <w:r w:rsidRPr="002E31FA">
        <w:rPr>
          <w:rFonts w:ascii="Arial" w:hAnsi="Arial" w:cs="Arial"/>
          <w:b/>
          <w:color w:val="2F5496"/>
          <w:sz w:val="32"/>
          <w:szCs w:val="32"/>
          <w:shd w:val="clear" w:color="auto" w:fill="FFFFFF"/>
        </w:rPr>
        <w:t>Налоги и отчетность в мае: основные изменения</w:t>
      </w:r>
    </w:p>
    <w:bookmarkEnd w:id="0"/>
    <w:p w:rsidR="002E31FA" w:rsidRPr="002E31FA" w:rsidRDefault="002E31FA" w:rsidP="002E31FA">
      <w:pPr>
        <w:widowControl w:val="0"/>
        <w:shd w:val="clear" w:color="auto" w:fill="FFFFFF"/>
        <w:spacing w:before="120" w:after="120"/>
        <w:textAlignment w:val="top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E31FA" w:rsidRPr="002E31FA" w:rsidRDefault="002E31FA" w:rsidP="002E31FA">
      <w:pPr>
        <w:widowControl w:val="0"/>
        <w:shd w:val="clear" w:color="auto" w:fill="FFFFFF"/>
        <w:spacing w:before="120" w:after="120"/>
        <w:textAlignment w:val="top"/>
        <w:rPr>
          <w:rFonts w:ascii="Arial" w:hAnsi="Arial" w:cs="Arial"/>
          <w:b/>
          <w:bCs/>
          <w:color w:val="000000"/>
          <w:sz w:val="20"/>
          <w:szCs w:val="20"/>
        </w:rPr>
      </w:pPr>
      <w:r w:rsidRPr="002E31FA">
        <w:rPr>
          <w:rFonts w:ascii="Arial" w:hAnsi="Arial" w:cs="Arial"/>
          <w:b/>
          <w:bCs/>
          <w:color w:val="000000"/>
          <w:sz w:val="20"/>
          <w:szCs w:val="20"/>
        </w:rPr>
        <w:t>Декларации (расчеты) проверяйте по контрольным соотношениям, чтобы их вовремя учли в совокупной обязанности на ЕНС. Уведомление о невозможности подачи документов в срок направляйте по обновленной форме. Об этих и других новшествах в обзоре.</w:t>
      </w:r>
    </w:p>
    <w:p w:rsidR="002E31FA" w:rsidRPr="002E31FA" w:rsidRDefault="002E31FA" w:rsidP="002E31FA">
      <w:pPr>
        <w:widowControl w:val="0"/>
        <w:numPr>
          <w:ilvl w:val="0"/>
          <w:numId w:val="1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8" w:anchor="anchor_1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Контрольные соотношения для деклараций и расчетов</w:t>
        </w:r>
      </w:hyperlink>
    </w:p>
    <w:p w:rsidR="002E31FA" w:rsidRPr="002E31FA" w:rsidRDefault="002E31FA" w:rsidP="002E31FA">
      <w:pPr>
        <w:widowControl w:val="0"/>
        <w:numPr>
          <w:ilvl w:val="0"/>
          <w:numId w:val="1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9" w:anchor="anchor_2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Новая форма уведомления о невозможности подачи документов в срок</w:t>
        </w:r>
      </w:hyperlink>
    </w:p>
    <w:p w:rsidR="002E31FA" w:rsidRPr="002E31FA" w:rsidRDefault="002E31FA" w:rsidP="002E31FA">
      <w:pPr>
        <w:widowControl w:val="0"/>
        <w:numPr>
          <w:ilvl w:val="0"/>
          <w:numId w:val="1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0" w:anchor="anchor_3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Формат электронной банковской гарантии и формы ряда заявлений</w:t>
        </w:r>
      </w:hyperlink>
    </w:p>
    <w:p w:rsidR="002E31FA" w:rsidRPr="002E31FA" w:rsidRDefault="002E31FA" w:rsidP="002E31FA">
      <w:pPr>
        <w:widowControl w:val="0"/>
        <w:numPr>
          <w:ilvl w:val="0"/>
          <w:numId w:val="1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1" w:anchor="anchor_5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Направление электронных документов для оплаты больничных</w:t>
        </w:r>
      </w:hyperlink>
    </w:p>
    <w:p w:rsidR="002E31FA" w:rsidRPr="002E31FA" w:rsidRDefault="002E31FA" w:rsidP="002E31FA">
      <w:pPr>
        <w:widowControl w:val="0"/>
        <w:numPr>
          <w:ilvl w:val="0"/>
          <w:numId w:val="1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2" w:anchor="anchor_6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Заполнение уведомления об исчисленных налогах</w:t>
        </w:r>
      </w:hyperlink>
    </w:p>
    <w:p w:rsidR="002E31FA" w:rsidRPr="002E31FA" w:rsidRDefault="002E31FA" w:rsidP="002E31FA">
      <w:pPr>
        <w:widowControl w:val="0"/>
        <w:numPr>
          <w:ilvl w:val="0"/>
          <w:numId w:val="1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hyperlink r:id="rId13" w:anchor="anchor_7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Ставки акцизов на алкоголь</w:t>
        </w:r>
      </w:hyperlink>
    </w:p>
    <w:p w:rsidR="002E31FA" w:rsidRPr="002E31FA" w:rsidRDefault="002E31FA" w:rsidP="002E31FA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Style w:val="aff"/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</w:pPr>
      <w:bookmarkStart w:id="1" w:name="anchor_4"/>
      <w:bookmarkEnd w:id="1"/>
    </w:p>
    <w:p w:rsidR="002E31FA" w:rsidRPr="002E31FA" w:rsidRDefault="002E31FA" w:rsidP="002E31FA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2F5496"/>
          <w:sz w:val="20"/>
          <w:szCs w:val="20"/>
        </w:rPr>
      </w:pPr>
      <w:r w:rsidRPr="002E31FA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Контрольные соотношения для деклараций и расчетов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Перед сдачей отчетности ее показатели проверяйте по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14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новым контрольным соотношениям</w:t>
        </w:r>
      </w:hyperlink>
      <w:r w:rsidRPr="002E31FA">
        <w:rPr>
          <w:rFonts w:ascii="Arial" w:hAnsi="Arial" w:cs="Arial"/>
          <w:color w:val="0E0E0E"/>
          <w:sz w:val="20"/>
          <w:szCs w:val="20"/>
        </w:rPr>
        <w:t>. Они действуют с 1 мая 2024 года. Среди них, например, такие:</w:t>
      </w:r>
    </w:p>
    <w:p w:rsidR="002E31FA" w:rsidRPr="002E31FA" w:rsidRDefault="002E31FA" w:rsidP="002E31FA">
      <w:pPr>
        <w:widowControl w:val="0"/>
        <w:numPr>
          <w:ilvl w:val="0"/>
          <w:numId w:val="2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любая из строк 030, 040 раздела 1, 060 раздела 2 ≥ 0 (</w:t>
      </w:r>
      <w:hyperlink r:id="rId15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соотношение 1.1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для декларации по НДС);</w:t>
      </w:r>
    </w:p>
    <w:p w:rsidR="002E31FA" w:rsidRPr="002E31FA" w:rsidRDefault="002E31FA" w:rsidP="002E31FA">
      <w:pPr>
        <w:widowControl w:val="0"/>
        <w:numPr>
          <w:ilvl w:val="0"/>
          <w:numId w:val="2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строка 270 листа 02 = строка 190 – (строка 220 + строка 250 + строка 268). Это равенство указано в </w:t>
      </w:r>
      <w:hyperlink r:id="rId16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соотношении 3.2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к декларации по налогу на прибыль;</w:t>
      </w:r>
    </w:p>
    <w:p w:rsidR="002E31FA" w:rsidRPr="002E31FA" w:rsidRDefault="002E31FA" w:rsidP="002E31FA">
      <w:pPr>
        <w:widowControl w:val="0"/>
        <w:numPr>
          <w:ilvl w:val="0"/>
          <w:numId w:val="2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любая из строк 030, 040 раздела 1 ≥ 0 (</w:t>
      </w:r>
      <w:hyperlink r:id="rId17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соотношение 6.1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к декларации по налогу на имущество);</w:t>
      </w:r>
    </w:p>
    <w:p w:rsidR="002E31FA" w:rsidRPr="002E31FA" w:rsidRDefault="002E31FA" w:rsidP="002E31FA">
      <w:pPr>
        <w:widowControl w:val="0"/>
        <w:numPr>
          <w:ilvl w:val="0"/>
          <w:numId w:val="2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для периодов с 01.01.2024 любая из строк 020, 021, 022, 023, 024, 025, 026, 030, 031, 032, 033, 034, 035, 036 раздела 1 ≥ 0 (</w:t>
      </w:r>
      <w:hyperlink r:id="rId18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соотношение 7.5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к 6-НДФЛ);</w:t>
      </w:r>
    </w:p>
    <w:p w:rsidR="002E31FA" w:rsidRPr="002E31FA" w:rsidRDefault="002E31FA" w:rsidP="002E31FA">
      <w:pPr>
        <w:widowControl w:val="0"/>
        <w:numPr>
          <w:ilvl w:val="0"/>
          <w:numId w:val="20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любая из строк 020, 040, 050, 070, 080, 100, 101, 110, 120 раздела 1.1 или раздела 1.2 ≥ 0 (</w:t>
      </w:r>
      <w:hyperlink r:id="rId19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соотношение 14.1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к декларации по УСН).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Если налоговики выявят несоответствие показателей декларации (расчета) контрольным соотношениям, которое подтверждает нарушение порядка заполнения, декларации (расчеты) учтут в совокупной обязанности лишь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0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после камеральной проверки</w:t>
        </w:r>
      </w:hyperlink>
      <w:r w:rsidRPr="002E31FA">
        <w:rPr>
          <w:rFonts w:ascii="Arial" w:hAnsi="Arial" w:cs="Arial"/>
          <w:color w:val="0E0E0E"/>
          <w:sz w:val="20"/>
          <w:szCs w:val="20"/>
        </w:rPr>
        <w:t>.</w:t>
      </w:r>
    </w:p>
    <w:p w:rsidR="002E31FA" w:rsidRPr="002E31FA" w:rsidRDefault="002E31FA" w:rsidP="002E31FA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Style w:val="aff"/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</w:pPr>
      <w:bookmarkStart w:id="2" w:name="anchor_2"/>
      <w:bookmarkEnd w:id="2"/>
    </w:p>
    <w:p w:rsidR="002E31FA" w:rsidRPr="002E31FA" w:rsidRDefault="002E31FA" w:rsidP="002E31FA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2F5496"/>
          <w:sz w:val="20"/>
          <w:szCs w:val="20"/>
        </w:rPr>
      </w:pPr>
      <w:r w:rsidRPr="002E31FA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Новая форма уведомления о невозможности подачи документов в срок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В обновленную форму добавили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1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раздел</w:t>
        </w:r>
      </w:hyperlink>
      <w:r w:rsidRPr="002E31FA">
        <w:rPr>
          <w:rFonts w:ascii="Arial" w:hAnsi="Arial" w:cs="Arial"/>
          <w:color w:val="0E0E0E"/>
          <w:sz w:val="20"/>
          <w:szCs w:val="20"/>
        </w:rPr>
        <w:t>, в котором банки будут сообщать налоговикам о том, что не могут направить документы (информацию) в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2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5-дневный срок</w:t>
        </w:r>
      </w:hyperlink>
      <w:r w:rsidRPr="002E31FA">
        <w:rPr>
          <w:rFonts w:ascii="Arial" w:hAnsi="Arial" w:cs="Arial"/>
          <w:color w:val="0E0E0E"/>
          <w:sz w:val="20"/>
          <w:szCs w:val="20"/>
        </w:rPr>
        <w:t>. Речь идет:</w:t>
      </w:r>
    </w:p>
    <w:p w:rsidR="002E31FA" w:rsidRPr="002E31FA" w:rsidRDefault="002E31FA" w:rsidP="002E31FA">
      <w:pPr>
        <w:widowControl w:val="0"/>
        <w:numPr>
          <w:ilvl w:val="0"/>
          <w:numId w:val="2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о копиях паспортов лиц, которые вправе получать деньги со счетов клиента;</w:t>
      </w:r>
    </w:p>
    <w:p w:rsidR="002E31FA" w:rsidRPr="002E31FA" w:rsidRDefault="002E31FA" w:rsidP="002E31FA">
      <w:pPr>
        <w:widowControl w:val="0"/>
        <w:numPr>
          <w:ilvl w:val="0"/>
          <w:numId w:val="2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копиях доверенностей на получение этих денег;</w:t>
      </w:r>
    </w:p>
    <w:p w:rsidR="002E31FA" w:rsidRPr="002E31FA" w:rsidRDefault="002E31FA" w:rsidP="002E31FA">
      <w:pPr>
        <w:widowControl w:val="0"/>
        <w:numPr>
          <w:ilvl w:val="0"/>
          <w:numId w:val="2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копиях договоров на открытие счета, заявлений на его открытие (закрытие);</w:t>
      </w:r>
    </w:p>
    <w:p w:rsidR="002E31FA" w:rsidRPr="002E31FA" w:rsidRDefault="002E31FA" w:rsidP="002E31FA">
      <w:pPr>
        <w:widowControl w:val="0"/>
        <w:numPr>
          <w:ilvl w:val="0"/>
          <w:numId w:val="2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копиях карточек с образцами подписей и оттиска печати;</w:t>
      </w:r>
    </w:p>
    <w:p w:rsidR="002E31FA" w:rsidRPr="002E31FA" w:rsidRDefault="002E31FA" w:rsidP="002E31FA">
      <w:pPr>
        <w:widowControl w:val="0"/>
        <w:numPr>
          <w:ilvl w:val="0"/>
          <w:numId w:val="21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 xml:space="preserve">информации о </w:t>
      </w:r>
      <w:proofErr w:type="spellStart"/>
      <w:r w:rsidRPr="002E31FA">
        <w:rPr>
          <w:rFonts w:ascii="Arial" w:hAnsi="Arial" w:cs="Arial"/>
          <w:color w:val="0E0E0E"/>
          <w:sz w:val="20"/>
          <w:szCs w:val="20"/>
        </w:rPr>
        <w:t>бенефициарных</w:t>
      </w:r>
      <w:proofErr w:type="spellEnd"/>
      <w:r w:rsidRPr="002E31FA">
        <w:rPr>
          <w:rFonts w:ascii="Arial" w:hAnsi="Arial" w:cs="Arial"/>
          <w:color w:val="0E0E0E"/>
          <w:sz w:val="20"/>
          <w:szCs w:val="20"/>
        </w:rPr>
        <w:t xml:space="preserve"> владельцах, выгодоприобретателях, представителях клиента и др.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В форме уведомления также есть небольшие технические правки.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3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Формат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уведомления также скорректировали.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Применять их нужно с 29 апреля 2024 года. С этой даты утрачивают силу прежние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4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форма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и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5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формат</w:t>
        </w:r>
      </w:hyperlink>
      <w:r w:rsidRPr="002E31FA">
        <w:rPr>
          <w:rFonts w:ascii="Arial" w:hAnsi="Arial" w:cs="Arial"/>
          <w:color w:val="0E0E0E"/>
          <w:sz w:val="20"/>
          <w:szCs w:val="20"/>
        </w:rPr>
        <w:t>.</w:t>
      </w:r>
    </w:p>
    <w:p w:rsidR="002E31FA" w:rsidRPr="002E31FA" w:rsidRDefault="002E31FA" w:rsidP="002E31FA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Style w:val="aff"/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</w:pPr>
      <w:bookmarkStart w:id="3" w:name="anchor_3"/>
      <w:bookmarkEnd w:id="3"/>
    </w:p>
    <w:p w:rsidR="002E31FA" w:rsidRPr="002E31FA" w:rsidRDefault="002E31FA" w:rsidP="002E31FA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Style w:val="aff"/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</w:pPr>
    </w:p>
    <w:p w:rsidR="002E31FA" w:rsidRPr="002E31FA" w:rsidRDefault="002E31FA" w:rsidP="002E31FA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Style w:val="aff"/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</w:pPr>
    </w:p>
    <w:p w:rsidR="002E31FA" w:rsidRPr="002E31FA" w:rsidRDefault="002E31FA" w:rsidP="002E31FA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2F5496"/>
          <w:sz w:val="20"/>
          <w:szCs w:val="20"/>
        </w:rPr>
      </w:pPr>
      <w:r w:rsidRPr="002E31FA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lastRenderedPageBreak/>
        <w:t>Формат электронной банковской гарантии и формы ряда заявлений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С 1 апреля 2024 года в инспекцию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6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подают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электронную банковскую гарантию. Ее утвержденные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7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формат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и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8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порядок направления в налоговую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действуют с 30 апреля. До этой даты используют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29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рекомендуемый формат</w:t>
        </w:r>
      </w:hyperlink>
      <w:r w:rsidRPr="002E31FA">
        <w:rPr>
          <w:rFonts w:ascii="Arial" w:hAnsi="Arial" w:cs="Arial"/>
          <w:color w:val="0E0E0E"/>
          <w:sz w:val="20"/>
          <w:szCs w:val="20"/>
        </w:rPr>
        <w:t>.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Также с 1 мая применяют формы, форматы и порядки заполнения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30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заявлений</w:t>
        </w:r>
      </w:hyperlink>
      <w:r w:rsidRPr="002E31FA">
        <w:rPr>
          <w:rFonts w:ascii="Arial" w:hAnsi="Arial" w:cs="Arial"/>
          <w:color w:val="0E0E0E"/>
          <w:sz w:val="20"/>
          <w:szCs w:val="20"/>
        </w:rPr>
        <w:t>:</w:t>
      </w:r>
    </w:p>
    <w:p w:rsidR="002E31FA" w:rsidRPr="002E31FA" w:rsidRDefault="002E31FA" w:rsidP="002E31FA">
      <w:pPr>
        <w:widowControl w:val="0"/>
        <w:numPr>
          <w:ilvl w:val="0"/>
          <w:numId w:val="2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об уведомлении налогоплательщика о том, что гаранта освободили от обязательств по банковской гарантии;</w:t>
      </w:r>
    </w:p>
    <w:p w:rsidR="002E31FA" w:rsidRPr="002E31FA" w:rsidRDefault="002E31FA" w:rsidP="002E31FA">
      <w:pPr>
        <w:widowControl w:val="0"/>
        <w:numPr>
          <w:ilvl w:val="0"/>
          <w:numId w:val="2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заявительном порядке возмещения НДС (акциза);</w:t>
      </w:r>
    </w:p>
    <w:p w:rsidR="002E31FA" w:rsidRPr="002E31FA" w:rsidRDefault="002E31FA" w:rsidP="002E31FA">
      <w:pPr>
        <w:widowControl w:val="0"/>
        <w:numPr>
          <w:ilvl w:val="0"/>
          <w:numId w:val="22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замене банковской гарантии или договора поручительства.</w:t>
      </w:r>
    </w:p>
    <w:p w:rsidR="002E31FA" w:rsidRPr="002E31FA" w:rsidRDefault="002E31FA" w:rsidP="002E31FA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Style w:val="aff"/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</w:pPr>
      <w:bookmarkStart w:id="4" w:name="anchor_5"/>
      <w:bookmarkEnd w:id="4"/>
    </w:p>
    <w:p w:rsidR="002E31FA" w:rsidRPr="002E31FA" w:rsidRDefault="002E31FA" w:rsidP="002E31FA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2F5496"/>
          <w:sz w:val="20"/>
          <w:szCs w:val="20"/>
        </w:rPr>
      </w:pPr>
      <w:r w:rsidRPr="002E31FA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Направление электронных документов для оплаты больничных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С 3 мая заработают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31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правила и условия направления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в электронной форме сведений и документов для назначения пособий по временной нетрудоспособности, беременности и родам, уходу за ребенком и травматизму. Их следует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32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передавать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через систему ЭД фонда. Сделать это нужно в течение 3 рабочих дней со дня поступления запроса фонда.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Обязанность страхователя по подаче сведений и документов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33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посчитают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исполненной после того, как в системе ЭД зафиксируют их идентификатор и дату, время поступления.</w:t>
      </w:r>
    </w:p>
    <w:p w:rsidR="002E31FA" w:rsidRPr="002E31FA" w:rsidRDefault="002E31FA" w:rsidP="002E31FA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Style w:val="aff"/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</w:pPr>
      <w:bookmarkStart w:id="5" w:name="anchor_6"/>
      <w:bookmarkEnd w:id="5"/>
    </w:p>
    <w:p w:rsidR="002E31FA" w:rsidRPr="002E31FA" w:rsidRDefault="002E31FA" w:rsidP="002E31FA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2F5496"/>
          <w:sz w:val="20"/>
          <w:szCs w:val="20"/>
        </w:rPr>
      </w:pPr>
      <w:r w:rsidRPr="002E31FA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Заполнение уведомления об исчисленных налогах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С 3 мая надо применять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34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обновленный порядок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заполнения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35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уведомления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об исчисленных налогах и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36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уточненный формат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его подачи.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Налоговый агент по НДФЛ с отчетных периодов 2024 года в поле "Отчетный (налоговый) период (код) / Номер месяца (квартала)" при проставлении кодов "21", "31", "33", "34"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37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указывает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номер:</w:t>
      </w:r>
    </w:p>
    <w:p w:rsidR="002E31FA" w:rsidRPr="002E31FA" w:rsidRDefault="002E31FA" w:rsidP="002E31FA">
      <w:pPr>
        <w:widowControl w:val="0"/>
        <w:numPr>
          <w:ilvl w:val="0"/>
          <w:numId w:val="2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01, 02 или 03 – за период с 1-го по 22-е число первого, второго или третьего месяца квартала соответственно;</w:t>
      </w:r>
    </w:p>
    <w:p w:rsidR="002E31FA" w:rsidRPr="002E31FA" w:rsidRDefault="002E31FA" w:rsidP="002E31FA">
      <w:pPr>
        <w:widowControl w:val="0"/>
        <w:numPr>
          <w:ilvl w:val="0"/>
          <w:numId w:val="23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11, 12 или 13 – за период с 23-го по последнее число первого, второго или третьего месяца квартала соответственно.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По НДФЛ, удержанному, например, с 1 по 22 апреля, нужно привести значение 31/01, а по удержанному с 23 по 30 апреля – 31/11.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В иных случаях это поле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38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заполняют так</w:t>
        </w:r>
      </w:hyperlink>
      <w:r w:rsidRPr="002E31FA">
        <w:rPr>
          <w:rFonts w:ascii="Arial" w:hAnsi="Arial" w:cs="Arial"/>
          <w:color w:val="0E0E0E"/>
          <w:sz w:val="20"/>
          <w:szCs w:val="20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2E31FA" w:rsidRPr="002E31FA" w:rsidTr="002E31FA">
        <w:tc>
          <w:tcPr>
            <w:tcW w:w="46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E31FA" w:rsidRPr="002E31FA" w:rsidRDefault="002E31FA" w:rsidP="002E31FA">
            <w:pPr>
              <w:widowControl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E31FA">
              <w:rPr>
                <w:rStyle w:val="aff"/>
                <w:rFonts w:ascii="Arial" w:hAnsi="Arial" w:cs="Arial"/>
                <w:sz w:val="20"/>
                <w:szCs w:val="20"/>
                <w:bdr w:val="none" w:sz="0" w:space="0" w:color="auto" w:frame="1"/>
              </w:rPr>
              <w:t>Платежи</w:t>
            </w:r>
          </w:p>
        </w:tc>
        <w:tc>
          <w:tcPr>
            <w:tcW w:w="4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E31FA" w:rsidRPr="002E31FA" w:rsidRDefault="002E31FA" w:rsidP="002E31FA">
            <w:pPr>
              <w:widowControl w:val="0"/>
              <w:spacing w:before="120" w:after="120"/>
              <w:ind w:left="163"/>
              <w:rPr>
                <w:rFonts w:ascii="Arial" w:hAnsi="Arial" w:cs="Arial"/>
                <w:sz w:val="20"/>
                <w:szCs w:val="20"/>
              </w:rPr>
            </w:pPr>
            <w:r w:rsidRPr="002E31FA">
              <w:rPr>
                <w:rStyle w:val="aff"/>
                <w:rFonts w:ascii="Arial" w:hAnsi="Arial" w:cs="Arial"/>
                <w:sz w:val="20"/>
                <w:szCs w:val="20"/>
                <w:bdr w:val="none" w:sz="0" w:space="0" w:color="auto" w:frame="1"/>
              </w:rPr>
              <w:t>Коды</w:t>
            </w:r>
          </w:p>
        </w:tc>
      </w:tr>
      <w:tr w:rsidR="002E31FA" w:rsidRPr="002E31FA" w:rsidTr="002E31FA">
        <w:tc>
          <w:tcPr>
            <w:tcW w:w="46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E31FA" w:rsidRPr="002E31FA" w:rsidRDefault="002E31FA" w:rsidP="002E31FA">
            <w:pPr>
              <w:widowControl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E31FA">
              <w:rPr>
                <w:rFonts w:ascii="Arial" w:hAnsi="Arial" w:cs="Arial"/>
                <w:sz w:val="20"/>
                <w:szCs w:val="20"/>
              </w:rPr>
              <w:t>Ежемесячные авансовые платежи</w:t>
            </w:r>
          </w:p>
        </w:tc>
        <w:tc>
          <w:tcPr>
            <w:tcW w:w="4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E31FA" w:rsidRPr="002E31FA" w:rsidRDefault="002E31FA" w:rsidP="002E31FA">
            <w:pPr>
              <w:widowControl w:val="0"/>
              <w:spacing w:before="120" w:after="120"/>
              <w:ind w:left="163"/>
              <w:rPr>
                <w:rFonts w:ascii="Arial" w:hAnsi="Arial" w:cs="Arial"/>
                <w:sz w:val="20"/>
                <w:szCs w:val="20"/>
              </w:rPr>
            </w:pPr>
            <w:r w:rsidRPr="002E31FA">
              <w:rPr>
                <w:rFonts w:ascii="Arial" w:hAnsi="Arial" w:cs="Arial"/>
                <w:sz w:val="20"/>
                <w:szCs w:val="20"/>
              </w:rPr>
              <w:t>При заполнении кодов "21", "31", "33", "34" указывают номер месяца квартала (01, 02, 03). Например, 31/02</w:t>
            </w:r>
          </w:p>
        </w:tc>
      </w:tr>
      <w:tr w:rsidR="002E31FA" w:rsidRPr="002E31FA" w:rsidTr="002E31FA">
        <w:tc>
          <w:tcPr>
            <w:tcW w:w="46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E31FA" w:rsidRPr="002E31FA" w:rsidRDefault="002E31FA" w:rsidP="002E31FA">
            <w:pPr>
              <w:widowControl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E31FA">
              <w:rPr>
                <w:rFonts w:ascii="Arial" w:hAnsi="Arial" w:cs="Arial"/>
                <w:sz w:val="20"/>
                <w:szCs w:val="20"/>
              </w:rPr>
              <w:t>Авансовые платежи за I квартал, полугодие, 9 месяцев (кроме НДФЛ, который платят по ст. 227 НК РФ)</w:t>
            </w:r>
          </w:p>
        </w:tc>
        <w:tc>
          <w:tcPr>
            <w:tcW w:w="4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E31FA" w:rsidRPr="002E31FA" w:rsidRDefault="002E31FA" w:rsidP="002E31FA">
            <w:pPr>
              <w:widowControl w:val="0"/>
              <w:spacing w:before="120" w:after="120"/>
              <w:ind w:left="163"/>
              <w:rPr>
                <w:rFonts w:ascii="Arial" w:hAnsi="Arial" w:cs="Arial"/>
                <w:sz w:val="20"/>
                <w:szCs w:val="20"/>
              </w:rPr>
            </w:pPr>
            <w:r w:rsidRPr="002E31FA">
              <w:rPr>
                <w:rFonts w:ascii="Arial" w:hAnsi="Arial" w:cs="Arial"/>
                <w:sz w:val="20"/>
                <w:szCs w:val="20"/>
              </w:rPr>
              <w:t>При заполнении кода "34" проставляют номер 01, 02, 03. Например, 34/02</w:t>
            </w:r>
          </w:p>
        </w:tc>
      </w:tr>
      <w:tr w:rsidR="002E31FA" w:rsidRPr="002E31FA" w:rsidTr="002E31FA">
        <w:tc>
          <w:tcPr>
            <w:tcW w:w="46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E31FA" w:rsidRPr="002E31FA" w:rsidRDefault="002E31FA" w:rsidP="002E31FA">
            <w:pPr>
              <w:widowControl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E31FA">
              <w:rPr>
                <w:rFonts w:ascii="Arial" w:hAnsi="Arial" w:cs="Arial"/>
                <w:sz w:val="20"/>
                <w:szCs w:val="20"/>
              </w:rPr>
              <w:t>Авансовые платежи за I квартал, полугодие, 9 месяцев по НДФЛ, который платят по ст. 227 НК РФ</w:t>
            </w:r>
          </w:p>
        </w:tc>
        <w:tc>
          <w:tcPr>
            <w:tcW w:w="4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E31FA" w:rsidRPr="002E31FA" w:rsidRDefault="002E31FA" w:rsidP="002E31FA">
            <w:pPr>
              <w:widowControl w:val="0"/>
              <w:spacing w:before="120" w:after="120"/>
              <w:ind w:left="163"/>
              <w:rPr>
                <w:rFonts w:ascii="Arial" w:hAnsi="Arial" w:cs="Arial"/>
                <w:sz w:val="20"/>
                <w:szCs w:val="20"/>
              </w:rPr>
            </w:pPr>
            <w:r w:rsidRPr="002E31FA">
              <w:rPr>
                <w:rFonts w:ascii="Arial" w:hAnsi="Arial" w:cs="Arial"/>
                <w:sz w:val="20"/>
                <w:szCs w:val="20"/>
              </w:rPr>
              <w:t>Указывают 21/04, 31/04 и 33/04</w:t>
            </w:r>
          </w:p>
        </w:tc>
      </w:tr>
      <w:tr w:rsidR="002E31FA" w:rsidRPr="002E31FA" w:rsidTr="002E31FA">
        <w:tc>
          <w:tcPr>
            <w:tcW w:w="46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E31FA" w:rsidRPr="002E31FA" w:rsidRDefault="002E31FA" w:rsidP="002E31FA">
            <w:pPr>
              <w:widowControl w:val="0"/>
              <w:spacing w:before="120" w:after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E31FA">
              <w:rPr>
                <w:rFonts w:ascii="Arial" w:hAnsi="Arial" w:cs="Arial"/>
                <w:sz w:val="20"/>
                <w:szCs w:val="20"/>
              </w:rPr>
              <w:t>Налог на имущество за год</w:t>
            </w:r>
          </w:p>
        </w:tc>
        <w:tc>
          <w:tcPr>
            <w:tcW w:w="46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bottom"/>
            <w:hideMark/>
          </w:tcPr>
          <w:p w:rsidR="002E31FA" w:rsidRPr="002E31FA" w:rsidRDefault="002E31FA" w:rsidP="002E31FA">
            <w:pPr>
              <w:widowControl w:val="0"/>
              <w:spacing w:before="120" w:after="120"/>
              <w:ind w:left="163"/>
              <w:rPr>
                <w:rFonts w:ascii="Arial" w:hAnsi="Arial" w:cs="Arial"/>
                <w:sz w:val="20"/>
                <w:szCs w:val="20"/>
              </w:rPr>
            </w:pPr>
            <w:r w:rsidRPr="002E31FA">
              <w:rPr>
                <w:rFonts w:ascii="Arial" w:hAnsi="Arial" w:cs="Arial"/>
                <w:sz w:val="20"/>
                <w:szCs w:val="20"/>
              </w:rPr>
              <w:t>При заполнении кода "34" указывают 04</w:t>
            </w:r>
          </w:p>
        </w:tc>
      </w:tr>
    </w:tbl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Установили нюансы заполнения уведомления по налогам, по которым не подают декларации.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Так, в уведомлении за налоговый (отчетный) период поле "КПП, указанный в соответствующей налоговой декларации (расчете)"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39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заполняют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так же, как поле "КПП". Это касается уведомления по налогу на имущество, транспортному и земельному налогам. В поле "Отчетный (календарный) год"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40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отражают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налоговый период (календарный год), за который исчислили налог.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lastRenderedPageBreak/>
        <w:t>Изменения затронули и поле "Наименование и реквизиты документа, подтверждающего полномочия представителя налогоплательщика, плательщика сборов, плательщика страховых взносов, налогового агента". Так, для электронной доверенности здесь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41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указывают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ее GUID.</w:t>
      </w:r>
    </w:p>
    <w:p w:rsidR="002E31FA" w:rsidRPr="002E31FA" w:rsidRDefault="002E31FA" w:rsidP="002E31FA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Style w:val="aff"/>
          <w:rFonts w:ascii="Arial" w:hAnsi="Arial" w:cs="Arial"/>
          <w:b/>
          <w:bCs/>
          <w:color w:val="0E0E0E"/>
          <w:sz w:val="20"/>
          <w:szCs w:val="20"/>
          <w:bdr w:val="none" w:sz="0" w:space="0" w:color="auto" w:frame="1"/>
        </w:rPr>
      </w:pPr>
      <w:bookmarkStart w:id="6" w:name="anchor_7"/>
      <w:bookmarkEnd w:id="6"/>
    </w:p>
    <w:p w:rsidR="002E31FA" w:rsidRPr="002E31FA" w:rsidRDefault="002E31FA" w:rsidP="002E31FA">
      <w:pPr>
        <w:pStyle w:val="2"/>
        <w:keepNext w:val="0"/>
        <w:widowControl w:val="0"/>
        <w:shd w:val="clear" w:color="auto" w:fill="FFFFFF"/>
        <w:spacing w:before="120" w:after="120"/>
        <w:textAlignment w:val="baseline"/>
        <w:rPr>
          <w:rFonts w:ascii="Arial" w:hAnsi="Arial" w:cs="Arial"/>
          <w:color w:val="2F5496"/>
          <w:sz w:val="20"/>
          <w:szCs w:val="20"/>
        </w:rPr>
      </w:pPr>
      <w:r w:rsidRPr="002E31FA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Ставки акцизов на алкоголь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На период с 1 мая до 31 декабря 2024 года включительно проиндексировали ставки на ряд алкогольной продукции, например:</w:t>
      </w:r>
    </w:p>
    <w:p w:rsidR="002E31FA" w:rsidRPr="002E31FA" w:rsidRDefault="002E31FA" w:rsidP="002E31FA">
      <w:pPr>
        <w:widowControl w:val="0"/>
        <w:numPr>
          <w:ilvl w:val="0"/>
          <w:numId w:val="2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на игристые вина, включая российское шампанское, – с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42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47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до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43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119 руб. за 1 л</w:t>
        </w:r>
      </w:hyperlink>
      <w:r w:rsidRPr="002E31FA">
        <w:rPr>
          <w:rFonts w:ascii="Arial" w:hAnsi="Arial" w:cs="Arial"/>
          <w:color w:val="0E0E0E"/>
          <w:sz w:val="20"/>
          <w:szCs w:val="20"/>
        </w:rPr>
        <w:t>;</w:t>
      </w:r>
    </w:p>
    <w:p w:rsidR="002E31FA" w:rsidRPr="002E31FA" w:rsidRDefault="002E31FA" w:rsidP="002E31FA">
      <w:pPr>
        <w:widowControl w:val="0"/>
        <w:numPr>
          <w:ilvl w:val="0"/>
          <w:numId w:val="24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на вина (кроме крепленых (ликерных) вин), фруктовые вина, плодовый алкоголь – с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44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36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до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45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108 руб. за 1 л</w:t>
        </w:r>
      </w:hyperlink>
      <w:r w:rsidRPr="002E31FA">
        <w:rPr>
          <w:rFonts w:ascii="Arial" w:hAnsi="Arial" w:cs="Arial"/>
          <w:color w:val="0E0E0E"/>
          <w:sz w:val="20"/>
          <w:szCs w:val="20"/>
        </w:rPr>
        <w:t>.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С 1 мая и до конца года установили ставку акцизов на крепленое (ликерное) вино, крепленое вино наливом –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46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141 руб. за 1 л</w:t>
        </w:r>
      </w:hyperlink>
      <w:r w:rsidRPr="002E31FA">
        <w:rPr>
          <w:rFonts w:ascii="Arial" w:hAnsi="Arial" w:cs="Arial"/>
          <w:color w:val="0E0E0E"/>
          <w:sz w:val="20"/>
          <w:szCs w:val="20"/>
        </w:rPr>
        <w:t>.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До изменения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47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порядка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заполнения декларации ФНС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48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рекомендовала указывать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такие коды видов подакцизных товаров:</w:t>
      </w:r>
    </w:p>
    <w:p w:rsidR="002E31FA" w:rsidRPr="002E31FA" w:rsidRDefault="002E31FA" w:rsidP="002E31FA">
      <w:pPr>
        <w:widowControl w:val="0"/>
        <w:numPr>
          <w:ilvl w:val="0"/>
          <w:numId w:val="2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228 ‒ алкоголь с объемной долей этилового спирта с 9 до 18% включительно, кроме производимого из подакцизного винограда;</w:t>
      </w:r>
    </w:p>
    <w:p w:rsidR="002E31FA" w:rsidRPr="002E31FA" w:rsidRDefault="002E31FA" w:rsidP="002E31FA">
      <w:pPr>
        <w:widowControl w:val="0"/>
        <w:numPr>
          <w:ilvl w:val="0"/>
          <w:numId w:val="2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229 ‒ алкоголь с объемной долей этилового спирта с 9 до 18% включительно, который произвели из подакцизного винограда;</w:t>
      </w:r>
    </w:p>
    <w:p w:rsidR="002E31FA" w:rsidRPr="002E31FA" w:rsidRDefault="002E31FA" w:rsidP="002E31FA">
      <w:pPr>
        <w:widowControl w:val="0"/>
        <w:numPr>
          <w:ilvl w:val="0"/>
          <w:numId w:val="2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278 ‒ крепленое (ликерное) вино, крепленое вино наливом, кроме производимых из подакцизного винограда;</w:t>
      </w:r>
    </w:p>
    <w:p w:rsidR="002E31FA" w:rsidRPr="002E31FA" w:rsidRDefault="002E31FA" w:rsidP="002E31FA">
      <w:pPr>
        <w:widowControl w:val="0"/>
        <w:numPr>
          <w:ilvl w:val="0"/>
          <w:numId w:val="25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279 ‒ крепленое (ликерное) вино, крепленое вино наливом, которые произвели из подакцизного винограда.</w:t>
      </w:r>
    </w:p>
    <w:p w:rsidR="002E31FA" w:rsidRPr="002E31FA" w:rsidRDefault="002E31FA" w:rsidP="002E31FA">
      <w:pPr>
        <w:pStyle w:val="aff0"/>
        <w:widowControl w:val="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E31FA">
        <w:rPr>
          <w:rFonts w:ascii="Arial" w:hAnsi="Arial" w:cs="Arial"/>
          <w:color w:val="0E0E0E"/>
          <w:sz w:val="20"/>
          <w:szCs w:val="20"/>
        </w:rPr>
        <w:t>Для напитков с объемной долей этилового спирта свыше 18% действуют коды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49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224</w:t>
        </w:r>
      </w:hyperlink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E31FA">
        <w:rPr>
          <w:rFonts w:ascii="Arial" w:hAnsi="Arial" w:cs="Arial"/>
          <w:color w:val="0E0E0E"/>
          <w:sz w:val="20"/>
          <w:szCs w:val="20"/>
        </w:rPr>
        <w:t>-</w:t>
      </w:r>
      <w:r w:rsidRPr="002E31FA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hyperlink r:id="rId50" w:history="1">
        <w:r w:rsidRPr="002E31FA">
          <w:rPr>
            <w:rStyle w:val="af6"/>
            <w:rFonts w:ascii="Arial" w:hAnsi="Arial" w:cs="Arial"/>
            <w:color w:val="413A61"/>
            <w:sz w:val="20"/>
            <w:szCs w:val="20"/>
            <w:u w:val="none"/>
            <w:bdr w:val="none" w:sz="0" w:space="0" w:color="auto" w:frame="1"/>
          </w:rPr>
          <w:t>227</w:t>
        </w:r>
      </w:hyperlink>
      <w:r w:rsidRPr="002E31FA">
        <w:rPr>
          <w:rFonts w:ascii="Arial" w:hAnsi="Arial" w:cs="Arial"/>
          <w:color w:val="0E0E0E"/>
          <w:sz w:val="20"/>
          <w:szCs w:val="20"/>
        </w:rPr>
        <w:t>.</w:t>
      </w:r>
    </w:p>
    <w:p w:rsidR="00D43F17" w:rsidRPr="002E31FA" w:rsidRDefault="00D43F17" w:rsidP="002E31FA">
      <w:pPr>
        <w:widowControl w:val="0"/>
        <w:spacing w:before="120" w:after="120"/>
        <w:rPr>
          <w:rFonts w:ascii="Arial" w:hAnsi="Arial" w:cs="Arial"/>
          <w:sz w:val="20"/>
          <w:szCs w:val="20"/>
        </w:rPr>
      </w:pPr>
    </w:p>
    <w:sectPr w:rsidR="00D43F17" w:rsidRPr="002E31FA" w:rsidSect="002E31FA">
      <w:headerReference w:type="default" r:id="rId51"/>
      <w:footerReference w:type="default" r:id="rId52"/>
      <w:headerReference w:type="first" r:id="rId53"/>
      <w:footerReference w:type="first" r:id="rId54"/>
      <w:pgSz w:w="11906" w:h="16838"/>
      <w:pgMar w:top="426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89E" w:rsidRDefault="00C1489E" w:rsidP="00704AA4">
      <w:r>
        <w:separator/>
      </w:r>
    </w:p>
  </w:endnote>
  <w:endnote w:type="continuationSeparator" w:id="0">
    <w:p w:rsidR="00C1489E" w:rsidRDefault="00C1489E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C1489E" w:rsidTr="005E75A5">
      <w:tc>
        <w:tcPr>
          <w:tcW w:w="4842" w:type="dxa"/>
          <w:shd w:val="clear" w:color="auto" w:fill="auto"/>
        </w:tcPr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2E31FA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C1489E" w:rsidRDefault="002E31FA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3" type="#_x0000_t75" style="width:126.4pt;height:30.25pt">
                <v:imagedata r:id="rId1" o:title="K+"/>
              </v:shape>
            </w:pict>
          </w:r>
        </w:p>
      </w:tc>
    </w:tr>
  </w:tbl>
  <w:p w:rsidR="00C1489E" w:rsidRDefault="00C1489E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C1489E" w:rsidTr="005E75A5">
      <w:tc>
        <w:tcPr>
          <w:tcW w:w="4842" w:type="dxa"/>
          <w:shd w:val="clear" w:color="auto" w:fill="auto"/>
        </w:tcPr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2E31FA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C1489E" w:rsidRPr="005E75A5" w:rsidRDefault="00C1489E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C1489E" w:rsidRDefault="002E31FA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5" type="#_x0000_t75" style="width:126.4pt;height:30.25pt">
                <v:imagedata r:id="rId1" o:title="K+"/>
              </v:shape>
            </w:pict>
          </w:r>
        </w:p>
      </w:tc>
    </w:tr>
  </w:tbl>
  <w:p w:rsidR="00C1489E" w:rsidRDefault="00C1489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89E" w:rsidRDefault="00C1489E" w:rsidP="00704AA4">
      <w:r>
        <w:separator/>
      </w:r>
    </w:p>
  </w:footnote>
  <w:footnote w:type="continuationSeparator" w:id="0">
    <w:p w:rsidR="00C1489E" w:rsidRDefault="00C1489E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89E" w:rsidRDefault="00C1489E" w:rsidP="00EE3F99">
    <w:pPr>
      <w:pStyle w:val="af0"/>
      <w:tabs>
        <w:tab w:val="clear" w:pos="9355"/>
        <w:tab w:val="right" w:pos="9639"/>
      </w:tabs>
    </w:pPr>
  </w:p>
  <w:p w:rsidR="00C1489E" w:rsidRPr="00704AA4" w:rsidRDefault="00C1489E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C1489E" w:rsidRPr="00704AA4" w:rsidTr="006D28A7">
      <w:tc>
        <w:tcPr>
          <w:tcW w:w="4390" w:type="dxa"/>
          <w:shd w:val="clear" w:color="auto" w:fill="auto"/>
        </w:tcPr>
        <w:p w:rsidR="00C1489E" w:rsidRPr="00704AA4" w:rsidRDefault="002E31FA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4" type="#_x0000_t75" style="width:189.6pt;height:36.8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C1489E" w:rsidRPr="006D28A7" w:rsidRDefault="00C1489E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C1489E" w:rsidRPr="006D28A7" w:rsidRDefault="00C1489E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C1489E" w:rsidRPr="006D28A7" w:rsidRDefault="002E31FA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C1489E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C1489E" w:rsidRPr="00704AA4" w:rsidRDefault="00C1489E" w:rsidP="00D6731D">
          <w:pPr>
            <w:pStyle w:val="af0"/>
          </w:pPr>
        </w:p>
      </w:tc>
    </w:tr>
  </w:tbl>
  <w:p w:rsidR="00C1489E" w:rsidRDefault="002E31FA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56F13"/>
    <w:multiLevelType w:val="multilevel"/>
    <w:tmpl w:val="D19E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04BD2"/>
    <w:multiLevelType w:val="multilevel"/>
    <w:tmpl w:val="00A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374591"/>
    <w:multiLevelType w:val="multilevel"/>
    <w:tmpl w:val="2936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F485B"/>
    <w:multiLevelType w:val="multilevel"/>
    <w:tmpl w:val="357A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9302E8"/>
    <w:multiLevelType w:val="multilevel"/>
    <w:tmpl w:val="6D1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A86718C"/>
    <w:multiLevelType w:val="multilevel"/>
    <w:tmpl w:val="9D00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72982"/>
    <w:multiLevelType w:val="multilevel"/>
    <w:tmpl w:val="1BBC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20"/>
  </w:num>
  <w:num w:numId="6">
    <w:abstractNumId w:val="12"/>
  </w:num>
  <w:num w:numId="7">
    <w:abstractNumId w:val="11"/>
  </w:num>
  <w:num w:numId="8">
    <w:abstractNumId w:val="3"/>
  </w:num>
  <w:num w:numId="9">
    <w:abstractNumId w:val="14"/>
  </w:num>
  <w:num w:numId="10">
    <w:abstractNumId w:val="2"/>
  </w:num>
  <w:num w:numId="11">
    <w:abstractNumId w:val="22"/>
  </w:num>
  <w:num w:numId="12">
    <w:abstractNumId w:val="0"/>
  </w:num>
  <w:num w:numId="13">
    <w:abstractNumId w:val="24"/>
  </w:num>
  <w:num w:numId="14">
    <w:abstractNumId w:val="18"/>
  </w:num>
  <w:num w:numId="15">
    <w:abstractNumId w:val="7"/>
  </w:num>
  <w:num w:numId="16">
    <w:abstractNumId w:val="1"/>
  </w:num>
  <w:num w:numId="17">
    <w:abstractNumId w:val="13"/>
  </w:num>
  <w:num w:numId="18">
    <w:abstractNumId w:val="16"/>
  </w:num>
  <w:num w:numId="19">
    <w:abstractNumId w:val="9"/>
  </w:num>
  <w:num w:numId="20">
    <w:abstractNumId w:val="5"/>
  </w:num>
  <w:num w:numId="21">
    <w:abstractNumId w:val="21"/>
  </w:num>
  <w:num w:numId="22">
    <w:abstractNumId w:val="23"/>
  </w:num>
  <w:num w:numId="23">
    <w:abstractNumId w:val="4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50800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2E31FA"/>
    <w:rsid w:val="00305F4B"/>
    <w:rsid w:val="00315ED5"/>
    <w:rsid w:val="00330EBF"/>
    <w:rsid w:val="0033263D"/>
    <w:rsid w:val="00334E6F"/>
    <w:rsid w:val="00393E7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4E9"/>
    <w:rsid w:val="00597962"/>
    <w:rsid w:val="005A4B2A"/>
    <w:rsid w:val="005B15B3"/>
    <w:rsid w:val="005B34C8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db.consultant.ru/news/25004/?q=53CDFAB3AF02D68F2AD70D34EA001E263E311A6464E87D1A78D0A1C2EC77CB4DA1638743B6B1E6BD91E0E6CBF789A30A15B034EA53D8A7A38D0E2653FCDF9C5698BDD8028888E9D01B1F45B94C43582D155F18A09717025C1B1B5E9DE84B424698D03ADD365345472064FEFB3974DFBFF3CA61B7F77F6525776E748C29407BDE62C6C816F8F60380E640E4F08965A92C1071D7EAA4282B58056F8B6926ACE202B39EFDB8BD30B8846F7E9B9929ED35989229068CF2BF4A5818AEA22092D6B4665FF11520C6C1D55945FE4B6ACDD897F2CDBDC95C7384FFA7568FCD85jDt2H" TargetMode="External"/><Relationship Id="rId18" Type="http://schemas.openxmlformats.org/officeDocument/2006/relationships/hyperlink" Target="consultantplus://offline/main?base=LAW;n=473461;dst=100086" TargetMode="External"/><Relationship Id="rId26" Type="http://schemas.openxmlformats.org/officeDocument/2006/relationships/hyperlink" Target="consultantplus://offline/main?base=LAW;n=461371;dst=100008" TargetMode="External"/><Relationship Id="rId39" Type="http://schemas.openxmlformats.org/officeDocument/2006/relationships/hyperlink" Target="consultantplus://offline/main?base=LAW;n=475038;dst=100039" TargetMode="External"/><Relationship Id="rId21" Type="http://schemas.openxmlformats.org/officeDocument/2006/relationships/hyperlink" Target="consultantplus://offline/main?base=LAW;n=473315;dst=100036" TargetMode="External"/><Relationship Id="rId34" Type="http://schemas.openxmlformats.org/officeDocument/2006/relationships/hyperlink" Target="consultantplus://offline/main?base=LAW;n=475038;dst=100014" TargetMode="External"/><Relationship Id="rId42" Type="http://schemas.openxmlformats.org/officeDocument/2006/relationships/hyperlink" Target="consultantplus://offline/main?base=LAW;n=454482;dst=24388" TargetMode="External"/><Relationship Id="rId47" Type="http://schemas.openxmlformats.org/officeDocument/2006/relationships/hyperlink" Target="consultantplus://offline/main?base=LAW;n=450145;dst=100535" TargetMode="External"/><Relationship Id="rId50" Type="http://schemas.openxmlformats.org/officeDocument/2006/relationships/hyperlink" Target="consultantplus://offline/main?base=LAW;n=450145;dst=101193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473461;dst=100033" TargetMode="External"/><Relationship Id="rId29" Type="http://schemas.openxmlformats.org/officeDocument/2006/relationships/hyperlink" Target="consultantplus://offline/main?base=LAW;n=472078;dst=100014" TargetMode="External"/><Relationship Id="rId11" Type="http://schemas.openxmlformats.org/officeDocument/2006/relationships/hyperlink" Target="https://ondb.consultant.ru/news/25004/?q=53CDFAB3AF02D68F2AD70D34EA001E263E311A6464E87D1A78D0A1C2EC77CB4DA1638743B6B1E6BD91E0E6CBF789A30A15B034EA53D8A7A38D0E2653FCDF9C5698BDD8028888E9D01B1F45B94C43582D155F18A09717025C1B1B5E9DE84B424698D03ADD365345472064FEFB3974DFBFF3CA61B7F77F6525776E748C29407BDE62C6C816F8F60380E640E4F08965A92C1071D7EAA4282B58056F8B6926ACE202B39EFDB8BD30B8846F7E9B9929ED35989229068CF2BF4A5818AEA22092D6B4665FF11520C6C1D55945FE4B6ACDD897F2CDBDC95C7384FFA7568FCD85jDt2H" TargetMode="External"/><Relationship Id="rId24" Type="http://schemas.openxmlformats.org/officeDocument/2006/relationships/hyperlink" Target="consultantplus://offline/main?base=LAW;n=325480;dst=100017" TargetMode="External"/><Relationship Id="rId32" Type="http://schemas.openxmlformats.org/officeDocument/2006/relationships/hyperlink" Target="consultantplus://offline/main?base=LAW;n=475045;dst=100017" TargetMode="External"/><Relationship Id="rId37" Type="http://schemas.openxmlformats.org/officeDocument/2006/relationships/hyperlink" Target="consultantplus://offline/main?base=LAW;n=475038;dst=100047" TargetMode="External"/><Relationship Id="rId40" Type="http://schemas.openxmlformats.org/officeDocument/2006/relationships/hyperlink" Target="consultantplus://offline/main?base=LAW;n=475038;dst=100052" TargetMode="External"/><Relationship Id="rId45" Type="http://schemas.openxmlformats.org/officeDocument/2006/relationships/hyperlink" Target="consultantplus://offline/main?base=LAW;n=462886;dst=100211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ondb.consultant.ru/news/25004/?q=53CDFAB3AF02D68F2AD70D34EA001E263E311A6464E87D1A78D0A1C2EC77CB4DA1638743B6B1E6BD91E0E6CBF789A30A15B034EA53D8A7A38D0E2653FCDF9C5698BDD8028888E9D01B1F45B94C43582D155F18A09717025C1B1B5E9DE84B424698D03ADD365345472064FEFB3974DFBFF3CA61B7F77F6525776E748C29407BDE62C6C816F8F60380E640E4F08965A92C1071D7EAA4282B58056F8B6926ACE202B39EFDB8BD30B8846F7E9B9929ED35989229068CF2BF4A5818AEA22092D6B4665FF11520C6C1D55945FE4B6ACDD897F2CDBDC95C7384FFA7568FCD85jDt2H" TargetMode="External"/><Relationship Id="rId19" Type="http://schemas.openxmlformats.org/officeDocument/2006/relationships/hyperlink" Target="consultantplus://offline/main?base=LAW;n=473461;dst=100158" TargetMode="External"/><Relationship Id="rId31" Type="http://schemas.openxmlformats.org/officeDocument/2006/relationships/hyperlink" Target="consultantplus://offline/main?base=LAW;n=475045;dst=100009" TargetMode="External"/><Relationship Id="rId44" Type="http://schemas.openxmlformats.org/officeDocument/2006/relationships/hyperlink" Target="consultantplus://offline/main?base=LAW;n=454482;dst=24376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ndb.consultant.ru/news/25004/?q=53CDFAB3AF02D68F2AD70D34EA001E263E311A6464E87D1A78D0A1C2EC77CB4DA1638743B6B1E6BD91E0E6CBF789A30A15B034EA53D8A7A38D0E2653FCDF9C5698BDD8028888E9D01B1F45B94C43582D155F18A09717025C1B1B5E9DE84B424698D03ADD365345472064FEFB3974DFBFF3CA61B7F77F6525776E748C29407BDE62C6C816F8F60380E640E4F08965A92C1071D7EAA4282B58056F8B6926ACE202B39EFDB8BD30B8846F7E9B9929ED35989229068CF2BF4A5818AEA22092D6B4665FF11520C6C1D55945FE4B6ACDD897F2CDBDC95C7384FFA7568FCD85jDt2H" TargetMode="External"/><Relationship Id="rId14" Type="http://schemas.openxmlformats.org/officeDocument/2006/relationships/hyperlink" Target="consultantplus://offline/main?base=LAW;n=473461;dst=100012" TargetMode="External"/><Relationship Id="rId22" Type="http://schemas.openxmlformats.org/officeDocument/2006/relationships/hyperlink" Target="consultantplus://offline/main?base=LAW;n=453958;dst=6261" TargetMode="External"/><Relationship Id="rId27" Type="http://schemas.openxmlformats.org/officeDocument/2006/relationships/hyperlink" Target="consultantplus://offline/main?base=LAW;n=473296;dst=100008" TargetMode="External"/><Relationship Id="rId30" Type="http://schemas.openxmlformats.org/officeDocument/2006/relationships/hyperlink" Target="consultantplus://offline/main?base=LAW;n=473492;dst=100007" TargetMode="External"/><Relationship Id="rId35" Type="http://schemas.openxmlformats.org/officeDocument/2006/relationships/hyperlink" Target="consultantplus://offline/main?base=LAW;n=433507;dst=100021" TargetMode="External"/><Relationship Id="rId43" Type="http://schemas.openxmlformats.org/officeDocument/2006/relationships/hyperlink" Target="consultantplus://offline/main?base=LAW;n=475063;dst=100027" TargetMode="External"/><Relationship Id="rId48" Type="http://schemas.openxmlformats.org/officeDocument/2006/relationships/hyperlink" Target="consultantplus://offline/main?base=LAW;n=475357;dst=10000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ondb.consultant.ru/news/25004/?q=53CDFAB3AF02D68F2AD70D34EA001E263E311A6464E87D1A78D0A1C2EC77CB4DA1638743B6B1E6BD91E0E6CBF789A30A15B034EA53D8A7A38D0E2653FCDF9C5698BDD8028888E9D01B1F45B94C43582D155F18A09717025C1B1B5E9DE84B424698D03ADD365345472064FEFB3974DFBFF3CA61B7F77F6525776E748C29407BDE62C6C816F8F60380E640E4F08965A92C1071D7EAA4282B58056F8B6926ACE202B39EFDB8BD30B8846F7E9B9929ED35989229068CF2BF4A5818AEA22092D6B4665FF11520C6C1D55945FE4B6ACDD897F2CDBDC95C7384FFA7568FCD85jDt2H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ondb.consultant.ru/news/25004/?q=53CDFAB3AF02D68F2AD70D34EA001E263E311A6464E87D1A78D0A1C2EC77CB4DA1638743B6B1E6BD91E0E6CBF789A30A15B034EA53D8A7A38D0E2653FCDF9C5698BDD8028888E9D01B1F45B94C43582D155F18A09717025C1B1B5E9DE84B424698D03ADD365345472064FEFB3974DFBFF3CA61B7F77F6525776E748C29407BDE62C6C816F8F60380E640E4F08965A92C1071D7EAA4282B58056F8B6926ACE202B39EFDB8BD30B8846F7E9B9929ED35989229068CF2BF4A5818AEA22092D6B4665FF11520C6C1D55945FE4B6ACDD897F2CDBDC95C7384FFA7568FCD85jDt2H" TargetMode="External"/><Relationship Id="rId17" Type="http://schemas.openxmlformats.org/officeDocument/2006/relationships/hyperlink" Target="consultantplus://offline/main?base=LAW;n=473461;dst=100063" TargetMode="External"/><Relationship Id="rId25" Type="http://schemas.openxmlformats.org/officeDocument/2006/relationships/hyperlink" Target="consultantplus://offline/main?base=LAW;n=325480;dst=100056" TargetMode="External"/><Relationship Id="rId33" Type="http://schemas.openxmlformats.org/officeDocument/2006/relationships/hyperlink" Target="consultantplus://offline/main?base=LAW;n=475045;dst=100026" TargetMode="External"/><Relationship Id="rId38" Type="http://schemas.openxmlformats.org/officeDocument/2006/relationships/hyperlink" Target="consultantplus://offline/main?base=LAW;n=475038;dst=100045" TargetMode="External"/><Relationship Id="rId46" Type="http://schemas.openxmlformats.org/officeDocument/2006/relationships/hyperlink" Target="consultantplus://offline/main?base=LAW;n=475063;dst=100022" TargetMode="External"/><Relationship Id="rId20" Type="http://schemas.openxmlformats.org/officeDocument/2006/relationships/hyperlink" Target="consultantplus://offline/main?base=LAW;n=472841;dst=6290" TargetMode="External"/><Relationship Id="rId41" Type="http://schemas.openxmlformats.org/officeDocument/2006/relationships/hyperlink" Target="consultantplus://offline/main?base=LAW;n=475038;dst=100060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main?base=LAW;n=473461;dst=100020" TargetMode="External"/><Relationship Id="rId23" Type="http://schemas.openxmlformats.org/officeDocument/2006/relationships/hyperlink" Target="consultantplus://offline/main?base=LAW;n=473315;dst=100064" TargetMode="External"/><Relationship Id="rId28" Type="http://schemas.openxmlformats.org/officeDocument/2006/relationships/hyperlink" Target="consultantplus://offline/main?base=LAW;n=473296;dst=100009" TargetMode="External"/><Relationship Id="rId36" Type="http://schemas.openxmlformats.org/officeDocument/2006/relationships/hyperlink" Target="consultantplus://offline/main?base=LAW;n=475038;dst=100101" TargetMode="External"/><Relationship Id="rId49" Type="http://schemas.openxmlformats.org/officeDocument/2006/relationships/hyperlink" Target="consultantplus://offline/main?base=LAW;n=450145;dst=10118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9294-9792-4313-8101-8F74B28E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5CF76A63</Template>
  <TotalTime>0</TotalTime>
  <Pages>3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2024-05-03T07:51:00Z</dcterms:created>
  <dcterms:modified xsi:type="dcterms:W3CDTF">2024-05-03T07:51:00Z</dcterms:modified>
</cp:coreProperties>
</file>